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44A55" w14:textId="62EF6794"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AD0662" w:rsidRPr="00AD0662">
        <w:t>2</w:t>
      </w:r>
      <w:r w:rsidRPr="00CE0424">
        <w:t>#</w:t>
      </w:r>
      <w:r w:rsidR="00AD0662">
        <w:t>103bis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5F3025" w:rsidRPr="00CE0424">
        <w:rPr>
          <w:sz w:val="32"/>
          <w:szCs w:val="32"/>
        </w:rPr>
        <w:t>1</w:t>
      </w:r>
      <w:r w:rsidR="00C744FE">
        <w:rPr>
          <w:sz w:val="32"/>
          <w:szCs w:val="32"/>
        </w:rPr>
        <w:t>8</w:t>
      </w:r>
      <w:r w:rsidR="00DB044E">
        <w:rPr>
          <w:sz w:val="32"/>
          <w:szCs w:val="32"/>
        </w:rPr>
        <w:t>14559</w:t>
      </w:r>
    </w:p>
    <w:p w14:paraId="5E855024" w14:textId="723895D7" w:rsidR="00D537A2" w:rsidRPr="00D537A2" w:rsidRDefault="00AD0662" w:rsidP="00D537A2">
      <w:pPr>
        <w:pStyle w:val="3GPPHeader"/>
      </w:pPr>
      <w:r w:rsidRPr="00E5482F">
        <w:t>Chengdu, China, 8</w:t>
      </w:r>
      <w:r w:rsidRPr="00E5482F">
        <w:rPr>
          <w:vertAlign w:val="superscript"/>
        </w:rPr>
        <w:t>th</w:t>
      </w:r>
      <w:r w:rsidRPr="00E5482F">
        <w:t xml:space="preserve"> – 12</w:t>
      </w:r>
      <w:r w:rsidRPr="00E5482F">
        <w:rPr>
          <w:vertAlign w:val="superscript"/>
        </w:rPr>
        <w:t>th</w:t>
      </w:r>
      <w:r>
        <w:t xml:space="preserve"> </w:t>
      </w:r>
      <w:r w:rsidRPr="00E5482F">
        <w:t>October 2018</w:t>
      </w:r>
      <w:r w:rsidR="00D537A2" w:rsidRPr="00D537A2">
        <w:tab/>
      </w:r>
      <w:bookmarkStart w:id="1" w:name="_Hlk525641008"/>
      <w:r w:rsidR="00D537A2" w:rsidRPr="00D537A2">
        <w:t>(Revision of R2-18</w:t>
      </w:r>
      <w:r w:rsidR="00D537A2">
        <w:t>1201</w:t>
      </w:r>
      <w:r w:rsidR="00C479AD">
        <w:t>7</w:t>
      </w:r>
      <w:r w:rsidR="00D537A2" w:rsidRPr="00D537A2">
        <w:t>)</w:t>
      </w:r>
    </w:p>
    <w:bookmarkEnd w:id="1"/>
    <w:p w14:paraId="587F5280" w14:textId="77777777" w:rsidR="00E90E49" w:rsidRPr="00CE0424" w:rsidRDefault="00E90E49" w:rsidP="00357380">
      <w:pPr>
        <w:pStyle w:val="3GPPHeader"/>
      </w:pPr>
    </w:p>
    <w:p w14:paraId="278CDBEF" w14:textId="26A379EC" w:rsidR="00E90E49" w:rsidRPr="00DB20CF" w:rsidRDefault="00E90E49" w:rsidP="00311702">
      <w:pPr>
        <w:pStyle w:val="3GPPHeader"/>
        <w:rPr>
          <w:sz w:val="22"/>
          <w:szCs w:val="22"/>
          <w:lang w:val="sv-SE"/>
        </w:rPr>
      </w:pPr>
      <w:r w:rsidRPr="00DB20CF">
        <w:rPr>
          <w:sz w:val="22"/>
          <w:szCs w:val="22"/>
          <w:lang w:val="sv-SE"/>
        </w:rPr>
        <w:t>Agenda Item:</w:t>
      </w:r>
      <w:r w:rsidRPr="00DB20CF">
        <w:rPr>
          <w:sz w:val="22"/>
          <w:szCs w:val="22"/>
          <w:lang w:val="sv-SE"/>
        </w:rPr>
        <w:tab/>
      </w:r>
      <w:r w:rsidR="00B7268E" w:rsidRPr="00B7268E">
        <w:rPr>
          <w:sz w:val="22"/>
          <w:szCs w:val="22"/>
          <w:lang w:val="sv-SE"/>
        </w:rPr>
        <w:t>10.5.1</w:t>
      </w:r>
    </w:p>
    <w:p w14:paraId="61DE14B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CDE031" w14:textId="17EF7342" w:rsidR="00E90E49" w:rsidRPr="00CE0424" w:rsidRDefault="003D3C45" w:rsidP="00311702">
      <w:pPr>
        <w:pStyle w:val="3GPPHeader"/>
        <w:rPr>
          <w:sz w:val="22"/>
          <w:szCs w:val="22"/>
        </w:rPr>
      </w:pPr>
      <w:r>
        <w:rPr>
          <w:sz w:val="22"/>
          <w:szCs w:val="22"/>
        </w:rPr>
        <w:t>Title:</w:t>
      </w:r>
      <w:r w:rsidR="00E90E49" w:rsidRPr="00CE0424">
        <w:rPr>
          <w:sz w:val="22"/>
          <w:szCs w:val="22"/>
        </w:rPr>
        <w:tab/>
      </w:r>
      <w:r w:rsidR="00965783">
        <w:rPr>
          <w:sz w:val="22"/>
          <w:szCs w:val="22"/>
        </w:rPr>
        <w:t>M</w:t>
      </w:r>
      <w:r w:rsidR="009C7598">
        <w:rPr>
          <w:sz w:val="22"/>
          <w:szCs w:val="22"/>
        </w:rPr>
        <w:t>CG failure</w:t>
      </w:r>
      <w:r w:rsidR="009C7598" w:rsidRPr="00F76AD9">
        <w:rPr>
          <w:sz w:val="22"/>
          <w:szCs w:val="22"/>
        </w:rPr>
        <w:t xml:space="preserve"> handling in case of N</w:t>
      </w:r>
      <w:r w:rsidR="009C7598">
        <w:rPr>
          <w:sz w:val="22"/>
          <w:szCs w:val="22"/>
        </w:rPr>
        <w:t>E-</w:t>
      </w:r>
      <w:r w:rsidR="009C7598" w:rsidRPr="00F76AD9">
        <w:rPr>
          <w:sz w:val="22"/>
          <w:szCs w:val="22"/>
        </w:rPr>
        <w:t>DC</w:t>
      </w:r>
      <w:r w:rsidR="009C7598">
        <w:rPr>
          <w:sz w:val="22"/>
          <w:szCs w:val="22"/>
        </w:rPr>
        <w:t xml:space="preserve"> and NR-DC</w:t>
      </w:r>
    </w:p>
    <w:p w14:paraId="381E6941" w14:textId="26B32216"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7268E">
        <w:rPr>
          <w:sz w:val="22"/>
          <w:szCs w:val="22"/>
        </w:rPr>
        <w:t>Discussion, Decisio</w:t>
      </w:r>
      <w:r w:rsidR="00290F48">
        <w:rPr>
          <w:sz w:val="22"/>
          <w:szCs w:val="22"/>
        </w:rPr>
        <w:t>n</w:t>
      </w:r>
    </w:p>
    <w:p w14:paraId="01B8B7F6" w14:textId="77777777" w:rsidR="00E90E49" w:rsidRPr="00CE0424" w:rsidRDefault="00E90E49" w:rsidP="00E90E49"/>
    <w:p w14:paraId="26760793" w14:textId="77777777" w:rsidR="00E90E49" w:rsidRPr="00CE0424" w:rsidRDefault="00230D18" w:rsidP="00CE0424">
      <w:pPr>
        <w:pStyle w:val="Heading1"/>
      </w:pPr>
      <w:r>
        <w:t>1</w:t>
      </w:r>
      <w:r>
        <w:tab/>
      </w:r>
      <w:r w:rsidR="00E90E49" w:rsidRPr="00CE0424">
        <w:t>Introduction</w:t>
      </w:r>
    </w:p>
    <w:p w14:paraId="28310CDD" w14:textId="2169860A" w:rsidR="009C7598" w:rsidRPr="009C7598" w:rsidRDefault="009C7598" w:rsidP="009C7598">
      <w:pPr>
        <w:spacing w:after="120"/>
        <w:jc w:val="both"/>
        <w:rPr>
          <w:rFonts w:ascii="Arial" w:hAnsi="Arial"/>
          <w:lang w:eastAsia="zh-CN"/>
        </w:rPr>
      </w:pPr>
      <w:bookmarkStart w:id="2" w:name="_Ref178064866"/>
      <w:r w:rsidRPr="009C7598">
        <w:rPr>
          <w:rFonts w:ascii="Arial" w:hAnsi="Arial"/>
          <w:lang w:eastAsia="zh-CN"/>
        </w:rPr>
        <w:t xml:space="preserve">In RAN2#97bis, the following agreements were made regarding EN-DC </w:t>
      </w:r>
      <w:r w:rsidRPr="009C7598">
        <w:rPr>
          <w:rFonts w:ascii="Arial" w:hAnsi="Arial"/>
          <w:lang w:eastAsia="zh-CN"/>
        </w:rPr>
        <w:fldChar w:fldCharType="begin"/>
      </w:r>
      <w:r w:rsidRPr="009C7598">
        <w:rPr>
          <w:rFonts w:ascii="Arial" w:hAnsi="Arial"/>
          <w:lang w:eastAsia="zh-CN"/>
        </w:rPr>
        <w:instrText xml:space="preserve"> REF _Ref503191143 \r \h </w:instrText>
      </w:r>
      <w:r w:rsidRPr="009C7598">
        <w:rPr>
          <w:rFonts w:ascii="Arial" w:hAnsi="Arial"/>
          <w:lang w:eastAsia="zh-CN"/>
        </w:rPr>
      </w:r>
      <w:r w:rsidRPr="009C7598">
        <w:rPr>
          <w:rFonts w:ascii="Arial" w:hAnsi="Arial"/>
          <w:lang w:eastAsia="zh-CN"/>
        </w:rPr>
        <w:fldChar w:fldCharType="separate"/>
      </w:r>
      <w:r w:rsidR="00B11A99">
        <w:rPr>
          <w:rFonts w:ascii="Arial" w:hAnsi="Arial"/>
          <w:lang w:eastAsia="zh-CN"/>
        </w:rPr>
        <w:t>[1]</w:t>
      </w:r>
      <w:r w:rsidRPr="009C7598">
        <w:rPr>
          <w:rFonts w:ascii="Arial" w:hAnsi="Arial"/>
          <w:lang w:eastAsia="zh-CN"/>
        </w:rPr>
        <w:fldChar w:fldCharType="end"/>
      </w:r>
      <w:r w:rsidRPr="009C7598">
        <w:rPr>
          <w:rFonts w:ascii="Arial" w:hAnsi="Arial"/>
          <w:lang w:eastAsia="zh-CN"/>
        </w:rPr>
        <w:fldChar w:fldCharType="begin"/>
      </w:r>
      <w:r w:rsidRPr="009C7598">
        <w:rPr>
          <w:rFonts w:ascii="Arial" w:hAnsi="Arial"/>
          <w:lang w:eastAsia="zh-CN"/>
        </w:rPr>
        <w:instrText xml:space="preserve"> REF _Ref503191143 \r \h </w:instrText>
      </w:r>
      <w:r w:rsidRPr="009C7598">
        <w:rPr>
          <w:rFonts w:ascii="Arial" w:hAnsi="Arial"/>
          <w:lang w:eastAsia="zh-CN"/>
        </w:rPr>
      </w:r>
      <w:r w:rsidRPr="009C7598">
        <w:rPr>
          <w:rFonts w:ascii="Arial" w:hAnsi="Arial"/>
          <w:lang w:eastAsia="zh-CN"/>
        </w:rPr>
        <w:fldChar w:fldCharType="end"/>
      </w:r>
      <w:r w:rsidRPr="009C7598">
        <w:rPr>
          <w:rFonts w:ascii="Arial" w:hAnsi="Arial"/>
          <w:lang w:eastAsia="zh-CN"/>
        </w:rPr>
        <w:t>:</w:t>
      </w:r>
    </w:p>
    <w:p w14:paraId="7CC7395F" w14:textId="77777777" w:rsidR="009C7598" w:rsidRPr="009C7598" w:rsidRDefault="009C7598" w:rsidP="00D537A2">
      <w:pPr>
        <w:numPr>
          <w:ilvl w:val="0"/>
          <w:numId w:val="25"/>
        </w:numPr>
        <w:pBdr>
          <w:top w:val="single" w:sz="4" w:space="1" w:color="auto"/>
          <w:left w:val="single" w:sz="4" w:space="4" w:color="auto"/>
          <w:bottom w:val="single" w:sz="4" w:space="1" w:color="auto"/>
          <w:right w:val="single" w:sz="4" w:space="4" w:color="auto"/>
        </w:pBdr>
        <w:tabs>
          <w:tab w:val="left" w:pos="9072"/>
          <w:tab w:val="left" w:pos="9214"/>
        </w:tabs>
        <w:spacing w:after="120"/>
        <w:ind w:left="426" w:hanging="426"/>
        <w:contextualSpacing/>
        <w:jc w:val="both"/>
        <w:textAlignment w:val="auto"/>
        <w:rPr>
          <w:rFonts w:ascii="Arial" w:hAnsi="Arial"/>
          <w:lang w:eastAsia="zh-CN"/>
        </w:rPr>
      </w:pPr>
      <w:r w:rsidRPr="009C7598">
        <w:rPr>
          <w:rFonts w:ascii="Arial" w:hAnsi="Arial"/>
          <w:lang w:eastAsia="zh-CN"/>
        </w:rPr>
        <w:t xml:space="preserve">If radio link failure is detected for MCG, UE initiates RRC connection re-establishment procedure with the </w:t>
      </w:r>
      <w:proofErr w:type="spellStart"/>
      <w:r w:rsidRPr="009C7598">
        <w:rPr>
          <w:rFonts w:ascii="Arial" w:hAnsi="Arial"/>
          <w:lang w:eastAsia="zh-CN"/>
        </w:rPr>
        <w:t>PCell</w:t>
      </w:r>
      <w:proofErr w:type="spellEnd"/>
      <w:r w:rsidRPr="009C7598">
        <w:rPr>
          <w:rFonts w:ascii="Arial" w:hAnsi="Arial"/>
          <w:lang w:eastAsia="zh-CN"/>
        </w:rPr>
        <w:t>.</w:t>
      </w:r>
    </w:p>
    <w:p w14:paraId="01F0EF78" w14:textId="77777777" w:rsidR="009C7598" w:rsidRPr="009C7598" w:rsidRDefault="009C7598" w:rsidP="00D537A2">
      <w:pPr>
        <w:numPr>
          <w:ilvl w:val="0"/>
          <w:numId w:val="25"/>
        </w:numPr>
        <w:pBdr>
          <w:top w:val="single" w:sz="4" w:space="1" w:color="auto"/>
          <w:left w:val="single" w:sz="4" w:space="4" w:color="auto"/>
          <w:bottom w:val="single" w:sz="4" w:space="1" w:color="auto"/>
          <w:right w:val="single" w:sz="4" w:space="4" w:color="auto"/>
        </w:pBdr>
        <w:spacing w:after="120"/>
        <w:ind w:left="426" w:hanging="426"/>
        <w:contextualSpacing/>
        <w:jc w:val="both"/>
        <w:textAlignment w:val="auto"/>
        <w:rPr>
          <w:rFonts w:ascii="Arial" w:hAnsi="Arial"/>
          <w:lang w:eastAsia="zh-CN"/>
        </w:rPr>
      </w:pPr>
      <w:r w:rsidRPr="009C7598">
        <w:rPr>
          <w:rFonts w:ascii="Arial" w:hAnsi="Arial"/>
          <w:lang w:eastAsia="zh-CN"/>
        </w:rPr>
        <w:t>If radio link failure is detected for SCG, UE suspends all SCG radio bearers (including SCG split bearers) and SCG transmissions for split radio bearers, and reports SCG failure information</w:t>
      </w:r>
    </w:p>
    <w:p w14:paraId="0051D486" w14:textId="77777777" w:rsidR="009C7598" w:rsidRDefault="009C7598" w:rsidP="009C7598">
      <w:pPr>
        <w:spacing w:after="120"/>
        <w:jc w:val="both"/>
        <w:rPr>
          <w:rFonts w:ascii="Arial" w:hAnsi="Arial" w:cs="Arial"/>
          <w:lang w:val="en-US" w:eastAsia="zh-CN"/>
        </w:rPr>
      </w:pPr>
    </w:p>
    <w:p w14:paraId="74A12FBB" w14:textId="77777777" w:rsidR="00D537A2" w:rsidRDefault="00D537A2" w:rsidP="00D537A2">
      <w:pPr>
        <w:pStyle w:val="BodyText"/>
      </w:pPr>
      <w:r>
        <w:t>In RAN2#103bis, bearer management in MR-DC (including NE-DC) was discussed and the following agreements were made.</w:t>
      </w:r>
    </w:p>
    <w:p w14:paraId="66B0FE16" w14:textId="77777777" w:rsidR="00D537A2" w:rsidRPr="00F02B67" w:rsidRDefault="00D537A2" w:rsidP="00D537A2">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Agreements</w:t>
      </w:r>
    </w:p>
    <w:p w14:paraId="2F107439" w14:textId="77777777" w:rsidR="00D537A2" w:rsidRPr="00F02B67" w:rsidRDefault="00D537A2" w:rsidP="00D537A2">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1.</w:t>
      </w:r>
      <w:r w:rsidRPr="00F02B67">
        <w:rPr>
          <w:lang w:val="x-none"/>
        </w:rPr>
        <w:tab/>
        <w:t>For DRB, all the bearer types defined in EN-DC are supported for NR-DC (in addition to all NG-EN-DC and NG-DC options as already captured in stage 2)</w:t>
      </w:r>
    </w:p>
    <w:p w14:paraId="25478D91" w14:textId="77777777" w:rsidR="00D537A2" w:rsidRPr="00F02B67" w:rsidRDefault="00D537A2" w:rsidP="00D537A2">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2</w:t>
      </w:r>
      <w:r w:rsidRPr="00F02B67">
        <w:rPr>
          <w:lang w:val="x-none"/>
        </w:rPr>
        <w:tab/>
        <w:t xml:space="preserve">NR-DC is considered as belonging to the set of MR-DC options. </w:t>
      </w:r>
    </w:p>
    <w:p w14:paraId="450ECBDE" w14:textId="77777777" w:rsidR="00D537A2" w:rsidRPr="00F02B67" w:rsidRDefault="00D537A2" w:rsidP="00D537A2">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2i</w:t>
      </w:r>
      <w:r w:rsidRPr="00F02B67">
        <w:rPr>
          <w:lang w:val="x-none"/>
        </w:rPr>
        <w:tab/>
        <w:t>This does not preclude that there might be differences that are specified. This does not mean that all current MR-DC agreement automatically apply to NR-DC without discussion. (This will be captured in an editor's not until all uses of MR-DC have been checked)</w:t>
      </w:r>
    </w:p>
    <w:p w14:paraId="63AFD578" w14:textId="77777777" w:rsidR="00D537A2" w:rsidRPr="00F02B67" w:rsidRDefault="00D537A2" w:rsidP="00D537A2">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3.</w:t>
      </w:r>
      <w:r w:rsidRPr="00F02B67">
        <w:rPr>
          <w:lang w:val="x-none"/>
        </w:rPr>
        <w:tab/>
      </w:r>
      <w:r w:rsidRPr="004F1A05">
        <w:rPr>
          <w:lang w:val="x-none"/>
        </w:rPr>
        <w:t>Split SRB1 and SRB2 are supported in NR-DC.</w:t>
      </w:r>
    </w:p>
    <w:p w14:paraId="6B9D43EB" w14:textId="77777777" w:rsidR="00D537A2" w:rsidRPr="00F02B67" w:rsidRDefault="00D537A2" w:rsidP="00D537A2">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4.</w:t>
      </w:r>
      <w:r w:rsidRPr="00F02B67">
        <w:rPr>
          <w:lang w:val="x-none"/>
        </w:rPr>
        <w:tab/>
        <w:t>DC duplication is supported for DRBs regardless of PDCP location in all MR-DC options.</w:t>
      </w:r>
    </w:p>
    <w:p w14:paraId="0B437AB9" w14:textId="77777777" w:rsidR="00D537A2" w:rsidRPr="00F02B67" w:rsidRDefault="00D537A2" w:rsidP="00D537A2">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5.</w:t>
      </w:r>
      <w:r w:rsidRPr="00F02B67">
        <w:rPr>
          <w:lang w:val="x-none"/>
        </w:rPr>
        <w:tab/>
        <w:t>DC duplication is supported for SRB1 and SRB2 in all MR-DC options.</w:t>
      </w:r>
    </w:p>
    <w:p w14:paraId="36C7B17F" w14:textId="77777777" w:rsidR="00D537A2" w:rsidRPr="00F02B67" w:rsidRDefault="00D537A2" w:rsidP="00D537A2">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6.</w:t>
      </w:r>
      <w:r w:rsidRPr="00F02B67">
        <w:rPr>
          <w:lang w:val="x-none"/>
        </w:rPr>
        <w:tab/>
        <w:t>For all MR-DC options, CA duplication is supported only in NR cell group regardless of PDCP location.</w:t>
      </w:r>
    </w:p>
    <w:p w14:paraId="25F12802" w14:textId="77777777" w:rsidR="00D537A2" w:rsidRPr="00F02B67" w:rsidRDefault="00D537A2" w:rsidP="00D537A2">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7.</w:t>
      </w:r>
      <w:r w:rsidRPr="00F02B67">
        <w:rPr>
          <w:lang w:val="x-none"/>
        </w:rPr>
        <w:tab/>
        <w:t xml:space="preserve">When the master is NR, CA duplication is supported for SRB1, SRB2 </w:t>
      </w:r>
    </w:p>
    <w:p w14:paraId="36E9BC27" w14:textId="77777777" w:rsidR="00D537A2" w:rsidRDefault="00D537A2" w:rsidP="00D537A2">
      <w:pPr>
        <w:pStyle w:val="BodyText"/>
      </w:pPr>
    </w:p>
    <w:p w14:paraId="2F98AA85" w14:textId="07F4017D" w:rsidR="00D537A2" w:rsidRPr="00C76333" w:rsidRDefault="00D537A2" w:rsidP="00D537A2">
      <w:pPr>
        <w:pStyle w:val="BodyText"/>
      </w:pPr>
      <w:r w:rsidRPr="00C76333">
        <w:t xml:space="preserve">Furthermore, RRC </w:t>
      </w:r>
      <w:r>
        <w:t>impacts of MR-</w:t>
      </w:r>
      <w:r w:rsidRPr="000B7583">
        <w:t xml:space="preserve"> </w:t>
      </w:r>
      <w:r>
        <w:t>DC (including NE-DC) were discussed and the following decisions were made:</w:t>
      </w:r>
    </w:p>
    <w:p w14:paraId="63B28D8D" w14:textId="77777777" w:rsidR="00D537A2" w:rsidRPr="00F02B67" w:rsidRDefault="00D537A2" w:rsidP="00D537A2">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Agreements</w:t>
      </w:r>
    </w:p>
    <w:p w14:paraId="53ED3329" w14:textId="77777777" w:rsidR="00D537A2" w:rsidRPr="00F02B67" w:rsidRDefault="00D537A2" w:rsidP="00D537A2">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1:</w:t>
      </w:r>
      <w:r w:rsidRPr="00F02B67">
        <w:rPr>
          <w:lang w:val="x-none"/>
        </w:rPr>
        <w:tab/>
      </w:r>
      <w:r w:rsidRPr="00D537A2">
        <w:rPr>
          <w:lang w:val="x-none"/>
        </w:rPr>
        <w:t>For NGEN-DC and NE-DC the control plane architecture is based on EN-DC</w:t>
      </w:r>
    </w:p>
    <w:p w14:paraId="4DD09D09" w14:textId="77777777" w:rsidR="00D537A2" w:rsidRPr="00F02B67" w:rsidRDefault="00D537A2" w:rsidP="00D537A2">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2</w:t>
      </w:r>
      <w:r w:rsidRPr="00F02B67">
        <w:rPr>
          <w:lang w:val="x-none"/>
        </w:rPr>
        <w:tab/>
        <w:t>For NR-DC the control plane architecture is based on EN-DC</w:t>
      </w:r>
    </w:p>
    <w:p w14:paraId="572546BF" w14:textId="77777777" w:rsidR="00D537A2" w:rsidRPr="00F02B67" w:rsidRDefault="00D537A2" w:rsidP="00D537A2">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FFS1 If there are differences at stage 3 in how the SN configuration is carried by the RRC message generated by the MN.</w:t>
      </w:r>
    </w:p>
    <w:p w14:paraId="4C17FD7B" w14:textId="77777777" w:rsidR="00D537A2" w:rsidRPr="00F02B67" w:rsidRDefault="00D537A2" w:rsidP="00D537A2">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FFS2 How capability coordination is performed in the case of NR-DC</w:t>
      </w:r>
    </w:p>
    <w:p w14:paraId="4F642755" w14:textId="77777777" w:rsidR="00D537A2" w:rsidRPr="00F02B67" w:rsidRDefault="00D537A2" w:rsidP="00D537A2">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3:</w:t>
      </w:r>
      <w:r w:rsidRPr="00F02B67">
        <w:rPr>
          <w:lang w:val="x-none"/>
        </w:rPr>
        <w:tab/>
      </w:r>
      <w:r w:rsidRPr="004F1A05">
        <w:rPr>
          <w:lang w:val="x-none"/>
        </w:rPr>
        <w:t>SRB3 can be configured for NR-DC</w:t>
      </w:r>
    </w:p>
    <w:p w14:paraId="131F8F1C" w14:textId="0FC1174A" w:rsidR="009C7598" w:rsidRPr="009C7598" w:rsidRDefault="009C7598" w:rsidP="00BE0494">
      <w:pPr>
        <w:rPr>
          <w:rFonts w:ascii="Arial" w:hAnsi="Arial"/>
          <w:lang w:eastAsia="zh-CN"/>
        </w:rPr>
      </w:pPr>
      <w:r w:rsidRPr="009C7598">
        <w:rPr>
          <w:rFonts w:ascii="Arial" w:hAnsi="Arial"/>
          <w:lang w:eastAsia="zh-CN"/>
        </w:rPr>
        <w:lastRenderedPageBreak/>
        <w:fldChar w:fldCharType="begin"/>
      </w:r>
      <w:r w:rsidRPr="009C7598">
        <w:rPr>
          <w:rFonts w:ascii="Arial" w:hAnsi="Arial"/>
          <w:lang w:eastAsia="zh-CN"/>
        </w:rPr>
        <w:instrText xml:space="preserve"> REF _Ref510526008 \r \h </w:instrText>
      </w:r>
      <w:r w:rsidRPr="009C7598">
        <w:rPr>
          <w:rFonts w:ascii="Arial" w:hAnsi="Arial"/>
          <w:lang w:eastAsia="zh-CN"/>
        </w:rPr>
      </w:r>
      <w:r w:rsidRPr="009C7598">
        <w:rPr>
          <w:rFonts w:ascii="Arial" w:hAnsi="Arial"/>
          <w:lang w:eastAsia="zh-CN"/>
        </w:rPr>
        <w:fldChar w:fldCharType="end"/>
      </w:r>
      <w:r w:rsidR="00BE0494" w:rsidRPr="00BE0494">
        <w:rPr>
          <w:rFonts w:ascii="Arial" w:hAnsi="Arial" w:cs="Arial"/>
          <w:lang w:val="en-US" w:eastAsia="zh-CN"/>
        </w:rPr>
        <w:t xml:space="preserve">In this contribution, we will outline </w:t>
      </w:r>
      <w:r w:rsidR="00BE0494" w:rsidRPr="00BE0494">
        <w:rPr>
          <w:rFonts w:ascii="Arial" w:hAnsi="Arial"/>
          <w:lang w:eastAsia="zh-CN"/>
        </w:rPr>
        <w:t>the MCG RLF handling for NR E-UTRAN Dual Connectivity (NE-DC) and NR-NR Dual Connectivity (N</w:t>
      </w:r>
      <w:r w:rsidR="00BE0494">
        <w:rPr>
          <w:rFonts w:ascii="Arial" w:hAnsi="Arial"/>
          <w:lang w:eastAsia="zh-CN"/>
        </w:rPr>
        <w:t>R</w:t>
      </w:r>
      <w:r w:rsidR="00BE0494" w:rsidRPr="00BE0494">
        <w:rPr>
          <w:rFonts w:ascii="Arial" w:hAnsi="Arial"/>
          <w:lang w:eastAsia="zh-CN"/>
        </w:rPr>
        <w:t>-DC) cases along with the discussion of what principles we can reuse and what changes we can propose regarding MCG failure handling. However, SCG failure discussion is separately given in</w:t>
      </w:r>
      <w:r w:rsidR="00BE0494">
        <w:rPr>
          <w:rFonts w:ascii="Arial" w:hAnsi="Arial"/>
          <w:lang w:eastAsia="zh-CN"/>
        </w:rPr>
        <w:t xml:space="preserve"> </w:t>
      </w:r>
      <w:r w:rsidR="00BE0494">
        <w:rPr>
          <w:rFonts w:ascii="Arial" w:hAnsi="Arial"/>
          <w:lang w:eastAsia="zh-CN"/>
        </w:rPr>
        <w:fldChar w:fldCharType="begin"/>
      </w:r>
      <w:r w:rsidR="00BE0494">
        <w:rPr>
          <w:rFonts w:ascii="Arial" w:hAnsi="Arial"/>
          <w:lang w:eastAsia="zh-CN"/>
        </w:rPr>
        <w:instrText xml:space="preserve"> REF _Ref525644542 \r \h </w:instrText>
      </w:r>
      <w:r w:rsidR="00BE0494">
        <w:rPr>
          <w:rFonts w:ascii="Arial" w:hAnsi="Arial"/>
          <w:lang w:eastAsia="zh-CN"/>
        </w:rPr>
      </w:r>
      <w:r w:rsidR="00BE0494">
        <w:rPr>
          <w:rFonts w:ascii="Arial" w:hAnsi="Arial"/>
          <w:lang w:eastAsia="zh-CN"/>
        </w:rPr>
        <w:fldChar w:fldCharType="separate"/>
      </w:r>
      <w:r w:rsidR="00BE0494">
        <w:rPr>
          <w:rFonts w:ascii="Arial" w:hAnsi="Arial"/>
          <w:lang w:eastAsia="zh-CN"/>
        </w:rPr>
        <w:t>[2]</w:t>
      </w:r>
      <w:r w:rsidR="00BE0494">
        <w:rPr>
          <w:rFonts w:ascii="Arial" w:hAnsi="Arial"/>
          <w:lang w:eastAsia="zh-CN"/>
        </w:rPr>
        <w:fldChar w:fldCharType="end"/>
      </w:r>
      <w:r w:rsidR="00BE0494" w:rsidRPr="00BE0494">
        <w:rPr>
          <w:rFonts w:ascii="Arial" w:hAnsi="Arial"/>
          <w:lang w:eastAsia="zh-CN"/>
        </w:rPr>
        <w:t xml:space="preserve">. </w:t>
      </w:r>
      <w:r w:rsidRPr="009C7598">
        <w:rPr>
          <w:rFonts w:ascii="Arial" w:hAnsi="Arial"/>
          <w:lang w:eastAsia="zh-CN"/>
        </w:rPr>
        <w:t xml:space="preserve"> </w:t>
      </w:r>
    </w:p>
    <w:p w14:paraId="2FBCD4B4" w14:textId="77777777" w:rsidR="004000E8" w:rsidRPr="00CE0424" w:rsidRDefault="00230D18" w:rsidP="00CE0424">
      <w:pPr>
        <w:pStyle w:val="Heading1"/>
      </w:pPr>
      <w:r>
        <w:t>2</w:t>
      </w:r>
      <w:r>
        <w:tab/>
      </w:r>
      <w:r w:rsidR="004000E8" w:rsidRPr="00CE0424">
        <w:t>Discussion</w:t>
      </w:r>
      <w:bookmarkEnd w:id="2"/>
    </w:p>
    <w:p w14:paraId="08E38736" w14:textId="5EB0F32D" w:rsidR="00BE0494" w:rsidRPr="00BE0494" w:rsidRDefault="00BE0494" w:rsidP="00BE0494">
      <w:pPr>
        <w:spacing w:after="120"/>
        <w:jc w:val="both"/>
        <w:rPr>
          <w:rFonts w:ascii="Arial" w:hAnsi="Arial"/>
          <w:lang w:eastAsia="zh-CN"/>
        </w:rPr>
      </w:pPr>
      <w:r w:rsidRPr="00BE0494">
        <w:rPr>
          <w:rFonts w:ascii="Arial" w:hAnsi="Arial"/>
          <w:lang w:eastAsia="zh-CN"/>
        </w:rPr>
        <w:t xml:space="preserve">In case of NE-DC and </w:t>
      </w:r>
      <w:r w:rsidR="00965783">
        <w:rPr>
          <w:rFonts w:ascii="Arial" w:hAnsi="Arial"/>
          <w:lang w:eastAsia="zh-CN"/>
        </w:rPr>
        <w:t>NR-DC</w:t>
      </w:r>
      <w:r w:rsidRPr="00BE0494">
        <w:rPr>
          <w:rFonts w:ascii="Arial" w:hAnsi="Arial"/>
          <w:lang w:eastAsia="zh-CN"/>
        </w:rPr>
        <w:t xml:space="preserve">, there is need for further improvements in comparison with EN-DC to be able to minimize the service interruption time and maximize the availability in case of MCG RLF. </w:t>
      </w:r>
    </w:p>
    <w:p w14:paraId="1BC6D3C6" w14:textId="0531246E" w:rsidR="00BE0494" w:rsidRPr="00BE0494" w:rsidRDefault="00BE0494" w:rsidP="00BE0494">
      <w:pPr>
        <w:spacing w:after="120"/>
        <w:jc w:val="both"/>
        <w:rPr>
          <w:rFonts w:ascii="Arial" w:hAnsi="Arial"/>
          <w:lang w:eastAsia="zh-CN"/>
        </w:rPr>
      </w:pPr>
      <w:r w:rsidRPr="00BE0494">
        <w:rPr>
          <w:rFonts w:ascii="Arial" w:hAnsi="Arial"/>
          <w:lang w:eastAsia="zh-CN"/>
        </w:rPr>
        <w:t xml:space="preserve">EN-DC does not have very stringent requirements when it comes to reliability and latency. This is because the use cases driving EN-DC are not identical to the DC cases where NR is the master node (e.g., NE-DC or </w:t>
      </w:r>
      <w:r w:rsidR="00965783">
        <w:rPr>
          <w:rFonts w:ascii="Arial" w:hAnsi="Arial"/>
          <w:lang w:eastAsia="zh-CN"/>
        </w:rPr>
        <w:t>NR-DC</w:t>
      </w:r>
      <w:r w:rsidRPr="00BE0494">
        <w:rPr>
          <w:rFonts w:ascii="Arial" w:hAnsi="Arial"/>
          <w:lang w:eastAsia="zh-CN"/>
        </w:rPr>
        <w:t xml:space="preserve">) providing URLLC services. Therefore, NE-DC and </w:t>
      </w:r>
      <w:r w:rsidR="00965783">
        <w:rPr>
          <w:rFonts w:ascii="Arial" w:hAnsi="Arial"/>
          <w:lang w:eastAsia="zh-CN"/>
        </w:rPr>
        <w:t>NR-DC</w:t>
      </w:r>
      <w:r w:rsidRPr="00BE0494">
        <w:rPr>
          <w:rFonts w:ascii="Arial" w:hAnsi="Arial"/>
          <w:lang w:eastAsia="zh-CN"/>
        </w:rPr>
        <w:t xml:space="preserve"> cases require further improvements regarding the service interruption time especially in case of MCG RLF, so as to fulfil the requirements of emerging use cases and applications in terms of availability.</w:t>
      </w:r>
    </w:p>
    <w:p w14:paraId="35B72365" w14:textId="7E400F5C" w:rsidR="00BE0494" w:rsidRPr="00BE0494" w:rsidRDefault="00BE0494" w:rsidP="00BE0494">
      <w:pPr>
        <w:pStyle w:val="Observation"/>
        <w:rPr>
          <w:lang w:eastAsia="zh-CN"/>
        </w:rPr>
      </w:pPr>
      <w:bookmarkStart w:id="3" w:name="_Toc525839395"/>
      <w:r w:rsidRPr="00BE0494">
        <w:rPr>
          <w:lang w:eastAsia="zh-CN"/>
        </w:rPr>
        <w:t xml:space="preserve">In case of NE-DC and </w:t>
      </w:r>
      <w:r w:rsidR="00965783">
        <w:rPr>
          <w:lang w:eastAsia="zh-CN"/>
        </w:rPr>
        <w:t>NR-DC</w:t>
      </w:r>
      <w:r w:rsidRPr="00BE0494">
        <w:rPr>
          <w:lang w:eastAsia="zh-CN"/>
        </w:rPr>
        <w:t>, there is need for further improvements compared to EN-DC in minimizing the service interruption time and maximizing the availability for URLLC services.</w:t>
      </w:r>
      <w:bookmarkEnd w:id="3"/>
      <w:r w:rsidRPr="00BE0494">
        <w:rPr>
          <w:lang w:eastAsia="zh-CN"/>
        </w:rPr>
        <w:t xml:space="preserve"> </w:t>
      </w:r>
    </w:p>
    <w:p w14:paraId="4DD5A76E" w14:textId="09905DD3" w:rsidR="00BE0494" w:rsidRPr="00BE0494" w:rsidRDefault="00BE0494" w:rsidP="00BE0494">
      <w:pPr>
        <w:spacing w:after="120"/>
        <w:jc w:val="both"/>
        <w:rPr>
          <w:rFonts w:ascii="Arial" w:hAnsi="Arial"/>
          <w:lang w:eastAsia="zh-CN"/>
        </w:rPr>
      </w:pPr>
      <w:r w:rsidRPr="00BE0494">
        <w:rPr>
          <w:rFonts w:ascii="Arial" w:hAnsi="Arial"/>
          <w:lang w:eastAsia="zh-CN"/>
        </w:rPr>
        <w:t xml:space="preserve">Another reason is that in case of NE-DC and </w:t>
      </w:r>
      <w:r w:rsidR="00965783">
        <w:rPr>
          <w:rFonts w:ascii="Arial" w:hAnsi="Arial"/>
          <w:lang w:eastAsia="zh-CN"/>
        </w:rPr>
        <w:t>NR-DC</w:t>
      </w:r>
      <w:r w:rsidRPr="00BE0494">
        <w:rPr>
          <w:rFonts w:ascii="Arial" w:hAnsi="Arial"/>
          <w:lang w:eastAsia="zh-CN"/>
        </w:rPr>
        <w:t>, MCG may have poor coverage as MCG may be deployed with a high-band carrier, unlike EN-DC where MCG is of a low-band carrier and SCG is assumed to have a high-band carrier.</w:t>
      </w:r>
    </w:p>
    <w:p w14:paraId="1884FEEE" w14:textId="09004B2A" w:rsidR="00BE0494" w:rsidRPr="00BE0494" w:rsidRDefault="00BE0494" w:rsidP="00BE0494">
      <w:pPr>
        <w:pStyle w:val="Observation"/>
        <w:rPr>
          <w:lang w:eastAsia="zh-CN"/>
        </w:rPr>
      </w:pPr>
      <w:bookmarkStart w:id="4" w:name="_Toc525839396"/>
      <w:r w:rsidRPr="00BE0494">
        <w:rPr>
          <w:lang w:eastAsia="zh-CN"/>
        </w:rPr>
        <w:t xml:space="preserve">In case of NE-DC and </w:t>
      </w:r>
      <w:r w:rsidR="00965783">
        <w:rPr>
          <w:lang w:eastAsia="zh-CN"/>
        </w:rPr>
        <w:t>NR-DC</w:t>
      </w:r>
      <w:r w:rsidRPr="00BE0494">
        <w:rPr>
          <w:lang w:eastAsia="zh-CN"/>
        </w:rPr>
        <w:t>, unlike EN-DC, MCG may have poor coverage if deployed on high-band carriers.</w:t>
      </w:r>
      <w:bookmarkEnd w:id="4"/>
    </w:p>
    <w:p w14:paraId="4134AD61" w14:textId="68A07251" w:rsidR="00BE0494" w:rsidRPr="00BE0494" w:rsidRDefault="00BE0494" w:rsidP="00BE0494">
      <w:pPr>
        <w:spacing w:after="120"/>
        <w:jc w:val="both"/>
        <w:rPr>
          <w:rFonts w:ascii="Arial" w:hAnsi="Arial"/>
          <w:lang w:eastAsia="zh-CN"/>
        </w:rPr>
      </w:pPr>
      <w:r w:rsidRPr="00BE0494">
        <w:rPr>
          <w:rFonts w:ascii="Arial" w:hAnsi="Arial"/>
          <w:lang w:eastAsia="zh-CN"/>
        </w:rPr>
        <w:t xml:space="preserve">In case of NE-DC, RRC enhancements regarding MCG RLF handling require changes and additions mainly to the NR RRC specification. Furthermore, in case of </w:t>
      </w:r>
      <w:r w:rsidR="00965783">
        <w:rPr>
          <w:rFonts w:ascii="Arial" w:hAnsi="Arial"/>
          <w:lang w:eastAsia="zh-CN"/>
        </w:rPr>
        <w:t>NR-DC</w:t>
      </w:r>
      <w:r w:rsidRPr="00BE0494">
        <w:rPr>
          <w:rFonts w:ascii="Arial" w:hAnsi="Arial"/>
          <w:lang w:eastAsia="zh-CN"/>
        </w:rPr>
        <w:t xml:space="preserve">, only the NR RRC specification would be impacted for the changes regarding the MCG failure handling. If the MCG failure handling procedure is harmonized for both NE-DC and </w:t>
      </w:r>
      <w:r w:rsidR="00965783">
        <w:rPr>
          <w:rFonts w:ascii="Arial" w:hAnsi="Arial"/>
          <w:lang w:eastAsia="zh-CN"/>
        </w:rPr>
        <w:t>NR-DC</w:t>
      </w:r>
      <w:r w:rsidRPr="00BE0494">
        <w:rPr>
          <w:rFonts w:ascii="Arial" w:hAnsi="Arial"/>
          <w:lang w:eastAsia="zh-CN"/>
        </w:rPr>
        <w:t xml:space="preserve">, the standardization efforts could be minimized significantly. </w:t>
      </w:r>
    </w:p>
    <w:p w14:paraId="1CEC2F91" w14:textId="569F0B08" w:rsidR="00BE0494" w:rsidRPr="00BE0494" w:rsidRDefault="00BE0494" w:rsidP="00965783">
      <w:pPr>
        <w:pStyle w:val="Observation"/>
        <w:rPr>
          <w:lang w:eastAsia="zh-CN"/>
        </w:rPr>
      </w:pPr>
      <w:bookmarkStart w:id="5" w:name="_Toc525839397"/>
      <w:r w:rsidRPr="00BE0494">
        <w:rPr>
          <w:lang w:eastAsia="zh-CN"/>
        </w:rPr>
        <w:t xml:space="preserve">RRC enhancements regarding MCG RLF handling require changes and additions mainly on the NR RRC specification in case of NE-DC and only NR RRC specification in case of and </w:t>
      </w:r>
      <w:r w:rsidR="00965783">
        <w:rPr>
          <w:lang w:eastAsia="zh-CN"/>
        </w:rPr>
        <w:t>NR-DC</w:t>
      </w:r>
      <w:r w:rsidRPr="00BE0494">
        <w:rPr>
          <w:lang w:eastAsia="zh-CN"/>
        </w:rPr>
        <w:t>.</w:t>
      </w:r>
      <w:bookmarkEnd w:id="5"/>
    </w:p>
    <w:p w14:paraId="2BE99289" w14:textId="77777777" w:rsidR="00BE0494" w:rsidRPr="00BE0494" w:rsidRDefault="00BE0494" w:rsidP="00965783">
      <w:pPr>
        <w:pStyle w:val="Observation"/>
        <w:rPr>
          <w:lang w:eastAsia="zh-CN"/>
        </w:rPr>
      </w:pPr>
      <w:bookmarkStart w:id="6" w:name="_Toc525839398"/>
      <w:r w:rsidRPr="00BE0494">
        <w:rPr>
          <w:lang w:eastAsia="zh-CN"/>
        </w:rPr>
        <w:t>The new procedure for MCG RLF handling can be harmonized for DC cases.</w:t>
      </w:r>
      <w:bookmarkEnd w:id="6"/>
    </w:p>
    <w:p w14:paraId="3AA768D6" w14:textId="77777777" w:rsidR="00BE0494" w:rsidRPr="00BE0494" w:rsidRDefault="00BE0494" w:rsidP="00BE0494">
      <w:pPr>
        <w:spacing w:after="120"/>
        <w:jc w:val="both"/>
        <w:rPr>
          <w:rFonts w:ascii="Arial" w:hAnsi="Arial"/>
          <w:lang w:eastAsia="zh-CN"/>
        </w:rPr>
      </w:pPr>
      <w:r w:rsidRPr="00BE0494">
        <w:rPr>
          <w:rFonts w:ascii="Arial" w:hAnsi="Arial"/>
          <w:lang w:eastAsia="zh-CN"/>
        </w:rPr>
        <w:t xml:space="preserve">Split SRB (by using NR PDCP) allows UE to receive and transmit RRC messages not only via MCG but also via SCG. This could be particularly beneficial in case of NE-DC deployments where the MCG bearer may fail due to MCG RLF while the SCG bearer maintains a good link condition. In this case, i.e., when UE detects an RLF on MCG, instead of triggering RRC re-establishment, UE would send a failure information message (e.g., </w:t>
      </w:r>
      <w:proofErr w:type="spellStart"/>
      <w:r w:rsidRPr="00BE0494">
        <w:rPr>
          <w:rFonts w:ascii="Arial" w:hAnsi="Arial"/>
          <w:i/>
          <w:lang w:eastAsia="zh-CN"/>
        </w:rPr>
        <w:t>MCGFailureInformation</w:t>
      </w:r>
      <w:proofErr w:type="spellEnd"/>
      <w:r w:rsidRPr="00BE0494">
        <w:rPr>
          <w:rFonts w:ascii="Arial" w:hAnsi="Arial"/>
          <w:i/>
          <w:lang w:eastAsia="zh-CN"/>
        </w:rPr>
        <w:t>),</w:t>
      </w:r>
      <w:r w:rsidRPr="00BE0494">
        <w:rPr>
          <w:rFonts w:ascii="Arial" w:hAnsi="Arial"/>
          <w:lang w:eastAsia="zh-CN"/>
        </w:rPr>
        <w:t xml:space="preserve"> which terminates at the MN higher layers, over the split SRB using the SN lower layers. Figure 1 illustrates the MCG RLF in case of NE-DC and Appendix shows an example of the implementation of MCG failure reporting in NR RRC.</w:t>
      </w:r>
    </w:p>
    <w:p w14:paraId="436DB621" w14:textId="275DF7D2" w:rsidR="00BE0494" w:rsidRPr="00BE0494" w:rsidRDefault="00BE0494" w:rsidP="00965783">
      <w:pPr>
        <w:pStyle w:val="Proposal"/>
      </w:pPr>
      <w:bookmarkStart w:id="7" w:name="_Toc525851802"/>
      <w:r w:rsidRPr="00BE0494">
        <w:t xml:space="preserve">UE suspends MCG transmissions and sends </w:t>
      </w:r>
      <w:proofErr w:type="spellStart"/>
      <w:r w:rsidRPr="00BE0494">
        <w:t>MCGFailureInformation</w:t>
      </w:r>
      <w:proofErr w:type="spellEnd"/>
      <w:r w:rsidRPr="00BE0494">
        <w:t xml:space="preserve"> if MCG RLF is detected when NE-DC or </w:t>
      </w:r>
      <w:r w:rsidR="00965783">
        <w:t>NR-DC</w:t>
      </w:r>
      <w:r w:rsidRPr="00BE0494">
        <w:t xml:space="preserve"> is active and split SRB is configured.</w:t>
      </w:r>
      <w:bookmarkEnd w:id="7"/>
    </w:p>
    <w:p w14:paraId="62F0E867" w14:textId="77777777" w:rsidR="00BE0494" w:rsidRPr="00BE0494" w:rsidRDefault="00BE0494" w:rsidP="00BE0494">
      <w:pPr>
        <w:spacing w:after="120"/>
        <w:jc w:val="both"/>
        <w:rPr>
          <w:rFonts w:ascii="Arial" w:hAnsi="Arial"/>
          <w:lang w:eastAsia="zh-CN"/>
        </w:rPr>
      </w:pPr>
      <w:r w:rsidRPr="00BE0494">
        <w:rPr>
          <w:rFonts w:ascii="Arial" w:hAnsi="Arial"/>
          <w:lang w:eastAsia="zh-CN"/>
        </w:rPr>
        <w:t xml:space="preserve">In case both the MCG and SCG encounter RLF simultaneously or consecutively, UE should fall-back to the RRC connection re-establishment procedure and should not attempt to report </w:t>
      </w:r>
      <w:proofErr w:type="spellStart"/>
      <w:r w:rsidRPr="00BE0494">
        <w:rPr>
          <w:rFonts w:ascii="Arial" w:hAnsi="Arial"/>
          <w:lang w:eastAsia="zh-CN"/>
        </w:rPr>
        <w:t>MCGFailureInformation</w:t>
      </w:r>
      <w:proofErr w:type="spellEnd"/>
      <w:r w:rsidRPr="00BE0494">
        <w:rPr>
          <w:rFonts w:ascii="Arial" w:hAnsi="Arial"/>
          <w:lang w:eastAsia="zh-CN"/>
        </w:rPr>
        <w:t xml:space="preserve"> to SCG.</w:t>
      </w:r>
    </w:p>
    <w:p w14:paraId="4F109E25" w14:textId="304B7126" w:rsidR="00BE0494" w:rsidRPr="00BE0494" w:rsidRDefault="00BE0494" w:rsidP="00965783">
      <w:pPr>
        <w:pStyle w:val="Proposal"/>
      </w:pPr>
      <w:bookmarkStart w:id="8" w:name="_Toc525851803"/>
      <w:r w:rsidRPr="00BE0494">
        <w:t xml:space="preserve">UE falls back to the RRC connection re-establishment procedure and does not </w:t>
      </w:r>
      <w:r w:rsidR="00F35969">
        <w:t xml:space="preserve">try to </w:t>
      </w:r>
      <w:r w:rsidRPr="00BE0494">
        <w:t xml:space="preserve">report </w:t>
      </w:r>
      <w:proofErr w:type="spellStart"/>
      <w:r w:rsidRPr="00BE0494">
        <w:t>MCGFailureInformation</w:t>
      </w:r>
      <w:proofErr w:type="spellEnd"/>
      <w:r w:rsidRPr="00BE0494">
        <w:t xml:space="preserve"> to SCG in case of simultaneous or consecutive RLF detections on MCG and SCG.</w:t>
      </w:r>
      <w:bookmarkEnd w:id="8"/>
    </w:p>
    <w:p w14:paraId="72BB90F7" w14:textId="12B3B370" w:rsidR="00F64CF9" w:rsidRPr="00342853" w:rsidRDefault="00960E34" w:rsidP="00F64CF9">
      <w:pPr>
        <w:pStyle w:val="BodyText"/>
      </w:pPr>
      <w:r>
        <w:t>Specified f</w:t>
      </w:r>
      <w:r w:rsidR="00A144F5">
        <w:t>ailure cases except for the</w:t>
      </w:r>
      <w:r w:rsidR="009A1931">
        <w:t xml:space="preserve"> MCG configuration failure</w:t>
      </w:r>
      <w:r w:rsidR="00A144F5">
        <w:t xml:space="preserve"> should be supported in case of MCG failure handling</w:t>
      </w:r>
      <w:r w:rsidR="00EE543C">
        <w:t xml:space="preserve"> which results in </w:t>
      </w:r>
      <w:r w:rsidR="00504871">
        <w:t>MCG failure information reporting</w:t>
      </w:r>
      <w:r w:rsidR="00722C72">
        <w:t>. That is because MCG configuration failure</w:t>
      </w:r>
      <w:r w:rsidR="00A144F5">
        <w:t xml:space="preserve"> </w:t>
      </w:r>
      <w:r w:rsidR="009A1931">
        <w:t xml:space="preserve">should always result in the re-establishment procedure. </w:t>
      </w:r>
      <w:r w:rsidR="00D14846" w:rsidRPr="00D14846">
        <w:t xml:space="preserve"> Accordingly, NE-DC and NR-DC should support at least the following </w:t>
      </w:r>
      <w:r w:rsidR="003849DB">
        <w:t>M</w:t>
      </w:r>
      <w:r w:rsidR="00D14846" w:rsidRPr="00D14846">
        <w:t xml:space="preserve">CG failure cases: </w:t>
      </w:r>
    </w:p>
    <w:p w14:paraId="20B54660" w14:textId="77777777" w:rsidR="00F64CF9" w:rsidRPr="00342853" w:rsidRDefault="00F64CF9" w:rsidP="00F64CF9">
      <w:pPr>
        <w:pStyle w:val="BodyText"/>
        <w:numPr>
          <w:ilvl w:val="0"/>
          <w:numId w:val="31"/>
        </w:numPr>
      </w:pPr>
      <w:r w:rsidRPr="00342853">
        <w:t>MCG RLF;</w:t>
      </w:r>
    </w:p>
    <w:p w14:paraId="65598C71" w14:textId="77777777" w:rsidR="00F64CF9" w:rsidRPr="00342853" w:rsidRDefault="00F64CF9" w:rsidP="00F64CF9">
      <w:pPr>
        <w:pStyle w:val="BodyText"/>
        <w:numPr>
          <w:ilvl w:val="0"/>
          <w:numId w:val="31"/>
        </w:numPr>
      </w:pPr>
      <w:r w:rsidRPr="00342853">
        <w:t>MCG configuration with sync failure;</w:t>
      </w:r>
    </w:p>
    <w:p w14:paraId="376DB467" w14:textId="77777777" w:rsidR="00F64CF9" w:rsidRPr="00342853" w:rsidRDefault="00F64CF9" w:rsidP="00F64CF9">
      <w:pPr>
        <w:pStyle w:val="BodyText"/>
        <w:numPr>
          <w:ilvl w:val="0"/>
          <w:numId w:val="31"/>
        </w:numPr>
      </w:pPr>
      <w:r w:rsidRPr="00342853">
        <w:t>MCG RRC integrity check failure (on SRB1/2);</w:t>
      </w:r>
    </w:p>
    <w:p w14:paraId="06AE95BC" w14:textId="601D0BCA" w:rsidR="00F64CF9" w:rsidRPr="00342853" w:rsidRDefault="00F64CF9" w:rsidP="00F64CF9">
      <w:pPr>
        <w:pStyle w:val="BodyText"/>
        <w:numPr>
          <w:ilvl w:val="0"/>
          <w:numId w:val="31"/>
        </w:numPr>
      </w:pPr>
      <w:r w:rsidRPr="00342853">
        <w:lastRenderedPageBreak/>
        <w:t>Mobility from NR/E-UTRA failure</w:t>
      </w:r>
      <w:r w:rsidR="00816081">
        <w:t>.</w:t>
      </w:r>
    </w:p>
    <w:p w14:paraId="35874282" w14:textId="6E274216" w:rsidR="005462AC" w:rsidRDefault="00816081" w:rsidP="00BA0580">
      <w:pPr>
        <w:pStyle w:val="Proposal"/>
      </w:pPr>
      <w:bookmarkStart w:id="9" w:name="_Toc525851804"/>
      <w:r w:rsidRPr="00816081">
        <w:t>NE-DC</w:t>
      </w:r>
      <w:r>
        <w:t xml:space="preserve"> and NR-DC</w:t>
      </w:r>
      <w:r w:rsidRPr="00816081">
        <w:t xml:space="preserve"> should support at least the following </w:t>
      </w:r>
      <w:r>
        <w:t>M</w:t>
      </w:r>
      <w:r w:rsidRPr="00816081">
        <w:t xml:space="preserve">CG failure cases: </w:t>
      </w:r>
      <w:r>
        <w:t>MCG RLF</w:t>
      </w:r>
      <w:r w:rsidR="00BA0580">
        <w:t xml:space="preserve">, </w:t>
      </w:r>
      <w:r>
        <w:t>MCG configuration with sync failure</w:t>
      </w:r>
      <w:r w:rsidR="00BA0580">
        <w:t xml:space="preserve">, </w:t>
      </w:r>
      <w:r>
        <w:t>MCG RRC integrity check failure (on SRB1/2)</w:t>
      </w:r>
      <w:r w:rsidR="00BA0580">
        <w:t xml:space="preserve"> and </w:t>
      </w:r>
      <w:r>
        <w:t>Mobility from NR/E-UTRA failure.</w:t>
      </w:r>
      <w:bookmarkEnd w:id="9"/>
    </w:p>
    <w:p w14:paraId="4B8FCC67" w14:textId="226FC939" w:rsidR="00BE0494" w:rsidRDefault="00C479AD" w:rsidP="00C479AD">
      <w:pPr>
        <w:pStyle w:val="BodyText"/>
      </w:pPr>
      <w:r>
        <w:t>Stage 2 CR to address these proposals</w:t>
      </w:r>
      <w:r w:rsidR="00BE0494" w:rsidRPr="00BE0494">
        <w:t xml:space="preserve"> </w:t>
      </w:r>
      <w:r>
        <w:t xml:space="preserve">are given in </w:t>
      </w:r>
      <w:r>
        <w:fldChar w:fldCharType="begin"/>
      </w:r>
      <w:r>
        <w:instrText xml:space="preserve"> REF _Ref525646218 \r \h </w:instrText>
      </w:r>
      <w:r>
        <w:fldChar w:fldCharType="separate"/>
      </w:r>
      <w:r>
        <w:t>[3]</w:t>
      </w:r>
      <w:r>
        <w:fldChar w:fldCharType="end"/>
      </w:r>
      <w:r w:rsidR="00444456">
        <w:t xml:space="preserve"> and Stage 3 aspects are provided within </w:t>
      </w:r>
      <w:r w:rsidR="009A1931">
        <w:fldChar w:fldCharType="begin"/>
      </w:r>
      <w:r w:rsidR="009A1931">
        <w:instrText xml:space="preserve"> REF _Ref525743398 \r \h </w:instrText>
      </w:r>
      <w:r w:rsidR="009A1931">
        <w:fldChar w:fldCharType="separate"/>
      </w:r>
      <w:r w:rsidR="009A1931">
        <w:t>[4]</w:t>
      </w:r>
      <w:r w:rsidR="009A1931">
        <w:fldChar w:fldCharType="end"/>
      </w:r>
      <w:r>
        <w:t>.</w:t>
      </w:r>
    </w:p>
    <w:tbl>
      <w:tblPr>
        <w:tblStyle w:val="TableGrid1"/>
        <w:tblW w:w="9634" w:type="dxa"/>
        <w:tblInd w:w="0" w:type="dxa"/>
        <w:tblLook w:val="04A0" w:firstRow="1" w:lastRow="0" w:firstColumn="1" w:lastColumn="0" w:noHBand="0" w:noVBand="1"/>
      </w:tblPr>
      <w:tblGrid>
        <w:gridCol w:w="4568"/>
        <w:gridCol w:w="5066"/>
      </w:tblGrid>
      <w:tr w:rsidR="00BE0494" w:rsidRPr="00BE0494" w14:paraId="14A7A499" w14:textId="77777777" w:rsidTr="00FB41EC">
        <w:tc>
          <w:tcPr>
            <w:tcW w:w="4568" w:type="dxa"/>
            <w:tcBorders>
              <w:top w:val="single" w:sz="4" w:space="0" w:color="auto"/>
              <w:left w:val="single" w:sz="4" w:space="0" w:color="auto"/>
              <w:bottom w:val="single" w:sz="4" w:space="0" w:color="auto"/>
              <w:right w:val="single" w:sz="4" w:space="0" w:color="auto"/>
            </w:tcBorders>
            <w:hideMark/>
          </w:tcPr>
          <w:p w14:paraId="5BA784C3" w14:textId="77777777" w:rsidR="00BE0494" w:rsidRPr="00BE0494" w:rsidRDefault="00BE0494" w:rsidP="00BE0494">
            <w:pPr>
              <w:spacing w:after="120"/>
              <w:jc w:val="center"/>
              <w:rPr>
                <w:rFonts w:ascii="Arial" w:hAnsi="Arial"/>
                <w:lang w:eastAsia="zh-CN"/>
              </w:rPr>
            </w:pPr>
            <w:r w:rsidRPr="00BE0494">
              <w:rPr>
                <w:rFonts w:ascii="Arial" w:hAnsi="Arial"/>
                <w:lang w:eastAsia="zh-CN"/>
              </w:rPr>
              <w:object w:dxaOrig="6120" w:dyaOrig="4995" w14:anchorId="40B53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80pt" o:ole="">
                  <v:imagedata r:id="rId13" o:title=""/>
                </v:shape>
                <o:OLEObject Type="Embed" ProgID="Visio.Drawing.15" ShapeID="_x0000_i1025" DrawAspect="Content" ObjectID="_1599593775" r:id="rId14"/>
              </w:object>
            </w:r>
          </w:p>
          <w:p w14:paraId="449D270C" w14:textId="77777777" w:rsidR="00BE0494" w:rsidRPr="00BE0494" w:rsidRDefault="00BE0494" w:rsidP="00BE0494">
            <w:pPr>
              <w:numPr>
                <w:ilvl w:val="0"/>
                <w:numId w:val="29"/>
              </w:numPr>
              <w:spacing w:after="120"/>
              <w:jc w:val="center"/>
              <w:rPr>
                <w:rFonts w:ascii="Arial" w:hAnsi="Arial"/>
                <w:lang w:eastAsia="zh-CN"/>
              </w:rPr>
            </w:pPr>
            <w:r w:rsidRPr="00BE0494">
              <w:rPr>
                <w:rFonts w:ascii="Arial" w:hAnsi="Arial"/>
                <w:lang w:eastAsia="zh-CN"/>
              </w:rPr>
              <w:t>MCG RLF in case of NE-DC with Split SRB</w:t>
            </w:r>
          </w:p>
        </w:tc>
        <w:tc>
          <w:tcPr>
            <w:tcW w:w="5066" w:type="dxa"/>
            <w:tcBorders>
              <w:top w:val="single" w:sz="4" w:space="0" w:color="auto"/>
              <w:left w:val="single" w:sz="4" w:space="0" w:color="auto"/>
              <w:bottom w:val="single" w:sz="4" w:space="0" w:color="auto"/>
              <w:right w:val="single" w:sz="4" w:space="0" w:color="auto"/>
            </w:tcBorders>
            <w:hideMark/>
          </w:tcPr>
          <w:p w14:paraId="5BEFDB03" w14:textId="77777777" w:rsidR="00BE0494" w:rsidRPr="00BE0494" w:rsidRDefault="00BE0494" w:rsidP="00BE0494">
            <w:pPr>
              <w:spacing w:after="120"/>
              <w:jc w:val="center"/>
              <w:rPr>
                <w:rFonts w:ascii="Arial" w:hAnsi="Arial"/>
                <w:lang w:eastAsia="zh-CN"/>
              </w:rPr>
            </w:pPr>
            <w:r w:rsidRPr="00BE0494">
              <w:rPr>
                <w:rFonts w:ascii="Arial" w:hAnsi="Arial"/>
                <w:lang w:eastAsia="zh-CN"/>
              </w:rPr>
              <w:object w:dxaOrig="5820" w:dyaOrig="4995" w14:anchorId="028379C7">
                <v:shape id="_x0000_i1026" type="#_x0000_t75" style="width:208.8pt;height:172.8pt" o:ole="">
                  <v:imagedata r:id="rId15" o:title=""/>
                </v:shape>
                <o:OLEObject Type="Embed" ProgID="Visio.Drawing.15" ShapeID="_x0000_i1026" DrawAspect="Content" ObjectID="_1599593776" r:id="rId16"/>
              </w:object>
            </w:r>
          </w:p>
          <w:p w14:paraId="1BB1F243" w14:textId="77777777" w:rsidR="00BE0494" w:rsidRPr="00BE0494" w:rsidRDefault="00BE0494" w:rsidP="00BE0494">
            <w:pPr>
              <w:numPr>
                <w:ilvl w:val="0"/>
                <w:numId w:val="29"/>
              </w:numPr>
              <w:spacing w:after="120"/>
              <w:jc w:val="center"/>
              <w:rPr>
                <w:rFonts w:ascii="Arial" w:hAnsi="Arial"/>
                <w:lang w:eastAsia="zh-CN"/>
              </w:rPr>
            </w:pPr>
            <w:proofErr w:type="spellStart"/>
            <w:r w:rsidRPr="00BE0494">
              <w:rPr>
                <w:rFonts w:ascii="Arial" w:hAnsi="Arial"/>
                <w:lang w:eastAsia="zh-CN"/>
              </w:rPr>
              <w:t>MCGFailureInformation</w:t>
            </w:r>
            <w:proofErr w:type="spellEnd"/>
            <w:r w:rsidRPr="00BE0494">
              <w:rPr>
                <w:rFonts w:ascii="Arial" w:hAnsi="Arial"/>
                <w:lang w:eastAsia="zh-CN"/>
              </w:rPr>
              <w:t xml:space="preserve"> is sent over Split SRB using the SN lower layers</w:t>
            </w:r>
          </w:p>
        </w:tc>
      </w:tr>
    </w:tbl>
    <w:p w14:paraId="7E623428" w14:textId="77777777" w:rsidR="00BE0494" w:rsidRPr="00BE0494" w:rsidRDefault="00BE0494" w:rsidP="00BE0494">
      <w:pPr>
        <w:spacing w:after="120"/>
        <w:jc w:val="center"/>
        <w:rPr>
          <w:rFonts w:ascii="Arial" w:hAnsi="Arial"/>
          <w:lang w:val="en-US" w:eastAsia="en-US"/>
        </w:rPr>
      </w:pPr>
      <w:r w:rsidRPr="00BE0494">
        <w:rPr>
          <w:rFonts w:ascii="Arial" w:hAnsi="Arial"/>
          <w:b/>
          <w:lang w:eastAsia="zh-CN"/>
        </w:rPr>
        <w:t>Figure 1.</w:t>
      </w:r>
      <w:r w:rsidRPr="00BE0494">
        <w:rPr>
          <w:rFonts w:ascii="Arial" w:hAnsi="Arial"/>
          <w:lang w:eastAsia="zh-CN"/>
        </w:rPr>
        <w:t xml:space="preserve"> </w:t>
      </w:r>
      <w:r w:rsidRPr="00BE0494">
        <w:rPr>
          <w:rFonts w:ascii="Arial" w:hAnsi="Arial"/>
          <w:lang w:val="en-US" w:eastAsia="en-US"/>
        </w:rPr>
        <w:t>Illustration of MCG RLF in case of NE-DC scenario.</w:t>
      </w:r>
    </w:p>
    <w:p w14:paraId="3EAE54E6" w14:textId="5F2402DF" w:rsidR="00C01F33" w:rsidRPr="00CE0424" w:rsidRDefault="00B409E0" w:rsidP="00CE0424">
      <w:pPr>
        <w:pStyle w:val="Heading1"/>
      </w:pPr>
      <w:bookmarkStart w:id="10" w:name="_Ref189046994"/>
      <w:r>
        <w:t>3</w:t>
      </w:r>
      <w:r>
        <w:tab/>
      </w:r>
      <w:bookmarkEnd w:id="10"/>
      <w:r w:rsidR="00C01F33" w:rsidRPr="00CE0424">
        <w:t>Conclusion</w:t>
      </w:r>
    </w:p>
    <w:p w14:paraId="6FA99CA2" w14:textId="77777777" w:rsidR="00965783" w:rsidRDefault="00965783" w:rsidP="00965783">
      <w:pPr>
        <w:pStyle w:val="BodyText"/>
        <w:rPr>
          <w:b/>
          <w:bCs/>
        </w:rPr>
      </w:pPr>
      <w:r>
        <w:t>In the previous sections</w:t>
      </w:r>
      <w:r w:rsidRPr="00CE0424">
        <w:t xml:space="preserve"> we </w:t>
      </w:r>
      <w:r>
        <w:t>made the following observations</w:t>
      </w:r>
      <w:r w:rsidRPr="00CE0424">
        <w:t>:</w:t>
      </w:r>
      <w:r>
        <w:rPr>
          <w:b/>
          <w:bCs/>
        </w:rPr>
        <w:t xml:space="preserve"> </w:t>
      </w:r>
    </w:p>
    <w:p w14:paraId="17B30E07" w14:textId="59889DAC" w:rsidR="00FB50E9" w:rsidRDefault="00965783">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525839395" w:history="1">
        <w:r w:rsidR="00FB50E9" w:rsidRPr="00D16348">
          <w:rPr>
            <w:rStyle w:val="Hyperlink"/>
            <w:noProof/>
          </w:rPr>
          <w:t>Observation 1</w:t>
        </w:r>
        <w:r w:rsidR="00FB50E9">
          <w:rPr>
            <w:rFonts w:asciiTheme="minorHAnsi" w:eastAsiaTheme="minorEastAsia" w:hAnsiTheme="minorHAnsi" w:cstheme="minorBidi"/>
            <w:b w:val="0"/>
            <w:noProof/>
            <w:sz w:val="22"/>
            <w:szCs w:val="22"/>
            <w:lang w:eastAsia="en-GB"/>
          </w:rPr>
          <w:tab/>
        </w:r>
        <w:r w:rsidR="00FB50E9" w:rsidRPr="00D16348">
          <w:rPr>
            <w:rStyle w:val="Hyperlink"/>
            <w:noProof/>
          </w:rPr>
          <w:t>In case of NE-DC and NR-DC, there is need for further improvements compared to EN-DC in minimizing the service interruption time and maximizing the availability for URLLC services.</w:t>
        </w:r>
      </w:hyperlink>
    </w:p>
    <w:p w14:paraId="4B2DD9FD" w14:textId="037D13BF" w:rsidR="00FB50E9" w:rsidRDefault="00487B5B">
      <w:pPr>
        <w:pStyle w:val="TableofFigures"/>
        <w:tabs>
          <w:tab w:val="right" w:leader="dot" w:pos="9629"/>
        </w:tabs>
        <w:rPr>
          <w:rFonts w:asciiTheme="minorHAnsi" w:eastAsiaTheme="minorEastAsia" w:hAnsiTheme="minorHAnsi" w:cstheme="minorBidi"/>
          <w:b w:val="0"/>
          <w:noProof/>
          <w:sz w:val="22"/>
          <w:szCs w:val="22"/>
          <w:lang w:eastAsia="en-GB"/>
        </w:rPr>
      </w:pPr>
      <w:hyperlink w:anchor="_Toc525839396" w:history="1">
        <w:r w:rsidR="00FB50E9" w:rsidRPr="00D16348">
          <w:rPr>
            <w:rStyle w:val="Hyperlink"/>
            <w:noProof/>
          </w:rPr>
          <w:t>Observation 2</w:t>
        </w:r>
        <w:r w:rsidR="00FB50E9">
          <w:rPr>
            <w:rFonts w:asciiTheme="minorHAnsi" w:eastAsiaTheme="minorEastAsia" w:hAnsiTheme="minorHAnsi" w:cstheme="minorBidi"/>
            <w:b w:val="0"/>
            <w:noProof/>
            <w:sz w:val="22"/>
            <w:szCs w:val="22"/>
            <w:lang w:eastAsia="en-GB"/>
          </w:rPr>
          <w:tab/>
        </w:r>
        <w:r w:rsidR="00FB50E9" w:rsidRPr="00D16348">
          <w:rPr>
            <w:rStyle w:val="Hyperlink"/>
            <w:noProof/>
          </w:rPr>
          <w:t>In case of NE-DC and NR-DC, unlike EN-DC, MCG may have poor coverage if deployed on high-band carriers.</w:t>
        </w:r>
      </w:hyperlink>
    </w:p>
    <w:p w14:paraId="3910A8A2" w14:textId="5A0B2250" w:rsidR="00FB50E9" w:rsidRDefault="00487B5B">
      <w:pPr>
        <w:pStyle w:val="TableofFigures"/>
        <w:tabs>
          <w:tab w:val="right" w:leader="dot" w:pos="9629"/>
        </w:tabs>
        <w:rPr>
          <w:rFonts w:asciiTheme="minorHAnsi" w:eastAsiaTheme="minorEastAsia" w:hAnsiTheme="minorHAnsi" w:cstheme="minorBidi"/>
          <w:b w:val="0"/>
          <w:noProof/>
          <w:sz w:val="22"/>
          <w:szCs w:val="22"/>
          <w:lang w:eastAsia="en-GB"/>
        </w:rPr>
      </w:pPr>
      <w:hyperlink w:anchor="_Toc525839397" w:history="1">
        <w:r w:rsidR="00FB50E9" w:rsidRPr="00D16348">
          <w:rPr>
            <w:rStyle w:val="Hyperlink"/>
            <w:noProof/>
          </w:rPr>
          <w:t>Observation 3</w:t>
        </w:r>
        <w:r w:rsidR="00FB50E9">
          <w:rPr>
            <w:rFonts w:asciiTheme="minorHAnsi" w:eastAsiaTheme="minorEastAsia" w:hAnsiTheme="minorHAnsi" w:cstheme="minorBidi"/>
            <w:b w:val="0"/>
            <w:noProof/>
            <w:sz w:val="22"/>
            <w:szCs w:val="22"/>
            <w:lang w:eastAsia="en-GB"/>
          </w:rPr>
          <w:tab/>
        </w:r>
        <w:r w:rsidR="00FB50E9" w:rsidRPr="00D16348">
          <w:rPr>
            <w:rStyle w:val="Hyperlink"/>
            <w:noProof/>
          </w:rPr>
          <w:t>RRC enhancements regarding MCG RLF handling require changes and additions mainly on the NR RRC specification in case of NE-DC and only NR RRC specification in case of and NR-DC.</w:t>
        </w:r>
      </w:hyperlink>
    </w:p>
    <w:p w14:paraId="4F223401" w14:textId="6DF8C6C2" w:rsidR="00FB50E9" w:rsidRDefault="00487B5B">
      <w:pPr>
        <w:pStyle w:val="TableofFigures"/>
        <w:tabs>
          <w:tab w:val="right" w:leader="dot" w:pos="9629"/>
        </w:tabs>
        <w:rPr>
          <w:rFonts w:asciiTheme="minorHAnsi" w:eastAsiaTheme="minorEastAsia" w:hAnsiTheme="minorHAnsi" w:cstheme="minorBidi"/>
          <w:b w:val="0"/>
          <w:noProof/>
          <w:sz w:val="22"/>
          <w:szCs w:val="22"/>
          <w:lang w:eastAsia="en-GB"/>
        </w:rPr>
      </w:pPr>
      <w:hyperlink w:anchor="_Toc525839398" w:history="1">
        <w:r w:rsidR="00FB50E9" w:rsidRPr="00D16348">
          <w:rPr>
            <w:rStyle w:val="Hyperlink"/>
            <w:noProof/>
          </w:rPr>
          <w:t>Observation 4</w:t>
        </w:r>
        <w:r w:rsidR="00FB50E9">
          <w:rPr>
            <w:rFonts w:asciiTheme="minorHAnsi" w:eastAsiaTheme="minorEastAsia" w:hAnsiTheme="minorHAnsi" w:cstheme="minorBidi"/>
            <w:b w:val="0"/>
            <w:noProof/>
            <w:sz w:val="22"/>
            <w:szCs w:val="22"/>
            <w:lang w:eastAsia="en-GB"/>
          </w:rPr>
          <w:tab/>
        </w:r>
        <w:r w:rsidR="00FB50E9" w:rsidRPr="00D16348">
          <w:rPr>
            <w:rStyle w:val="Hyperlink"/>
            <w:noProof/>
          </w:rPr>
          <w:t>The new procedure for MCG RLF handling can be harmonized for DC cases.</w:t>
        </w:r>
      </w:hyperlink>
    </w:p>
    <w:p w14:paraId="65DE6D94" w14:textId="20F5FB36" w:rsidR="00965783" w:rsidRDefault="00965783" w:rsidP="00965783">
      <w:pPr>
        <w:pStyle w:val="BodyText"/>
      </w:pPr>
      <w:r>
        <w:rPr>
          <w:b/>
          <w:bCs/>
        </w:rPr>
        <w:fldChar w:fldCharType="end"/>
      </w:r>
    </w:p>
    <w:p w14:paraId="5D379E64" w14:textId="09643F56"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6AED335" w14:textId="5639CE53" w:rsidR="00487B5B"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851802" w:history="1">
        <w:r w:rsidR="00487B5B" w:rsidRPr="00A340E2">
          <w:rPr>
            <w:rStyle w:val="Hyperlink"/>
            <w:noProof/>
          </w:rPr>
          <w:t>Proposal 1</w:t>
        </w:r>
        <w:r w:rsidR="00487B5B">
          <w:rPr>
            <w:rFonts w:asciiTheme="minorHAnsi" w:eastAsiaTheme="minorEastAsia" w:hAnsiTheme="minorHAnsi" w:cstheme="minorBidi"/>
            <w:b w:val="0"/>
            <w:noProof/>
            <w:sz w:val="22"/>
            <w:szCs w:val="22"/>
            <w:lang w:eastAsia="en-GB"/>
          </w:rPr>
          <w:tab/>
        </w:r>
        <w:r w:rsidR="00487B5B" w:rsidRPr="00A340E2">
          <w:rPr>
            <w:rStyle w:val="Hyperlink"/>
            <w:noProof/>
          </w:rPr>
          <w:t>UE suspends MCG transmissions and sends MCGFailureInformation if MCG RLF is detected when NE-DC or NR-DC is active and split SRB is configured.</w:t>
        </w:r>
      </w:hyperlink>
    </w:p>
    <w:p w14:paraId="4BE96368" w14:textId="4A48FB90" w:rsidR="00487B5B" w:rsidRDefault="00487B5B">
      <w:pPr>
        <w:pStyle w:val="TableofFigures"/>
        <w:tabs>
          <w:tab w:val="right" w:leader="dot" w:pos="9629"/>
        </w:tabs>
        <w:rPr>
          <w:rFonts w:asciiTheme="minorHAnsi" w:eastAsiaTheme="minorEastAsia" w:hAnsiTheme="minorHAnsi" w:cstheme="minorBidi"/>
          <w:b w:val="0"/>
          <w:noProof/>
          <w:sz w:val="22"/>
          <w:szCs w:val="22"/>
          <w:lang w:eastAsia="en-GB"/>
        </w:rPr>
      </w:pPr>
      <w:hyperlink w:anchor="_Toc525851803" w:history="1">
        <w:r w:rsidRPr="00A340E2">
          <w:rPr>
            <w:rStyle w:val="Hyperlink"/>
            <w:noProof/>
          </w:rPr>
          <w:t>Proposal 2</w:t>
        </w:r>
        <w:r>
          <w:rPr>
            <w:rFonts w:asciiTheme="minorHAnsi" w:eastAsiaTheme="minorEastAsia" w:hAnsiTheme="minorHAnsi" w:cstheme="minorBidi"/>
            <w:b w:val="0"/>
            <w:noProof/>
            <w:sz w:val="22"/>
            <w:szCs w:val="22"/>
            <w:lang w:eastAsia="en-GB"/>
          </w:rPr>
          <w:tab/>
        </w:r>
        <w:r w:rsidRPr="00A340E2">
          <w:rPr>
            <w:rStyle w:val="Hyperlink"/>
            <w:noProof/>
          </w:rPr>
          <w:t>UE falls back to the RRC connection re-establishment procedure and does not try to report MCGFailureInformation to SCG in case of simultaneous or consecutive RLF detections on MCG and SCG.</w:t>
        </w:r>
      </w:hyperlink>
    </w:p>
    <w:p w14:paraId="53976DBD" w14:textId="0A4BA374" w:rsidR="00487B5B" w:rsidRDefault="00487B5B">
      <w:pPr>
        <w:pStyle w:val="TableofFigures"/>
        <w:tabs>
          <w:tab w:val="right" w:leader="dot" w:pos="9629"/>
        </w:tabs>
        <w:rPr>
          <w:rFonts w:asciiTheme="minorHAnsi" w:eastAsiaTheme="minorEastAsia" w:hAnsiTheme="minorHAnsi" w:cstheme="minorBidi"/>
          <w:b w:val="0"/>
          <w:noProof/>
          <w:sz w:val="22"/>
          <w:szCs w:val="22"/>
          <w:lang w:eastAsia="en-GB"/>
        </w:rPr>
      </w:pPr>
      <w:hyperlink w:anchor="_Toc525851804" w:history="1">
        <w:r w:rsidRPr="00A340E2">
          <w:rPr>
            <w:rStyle w:val="Hyperlink"/>
            <w:noProof/>
          </w:rPr>
          <w:t>Proposal 3</w:t>
        </w:r>
        <w:r>
          <w:rPr>
            <w:rFonts w:asciiTheme="minorHAnsi" w:eastAsiaTheme="minorEastAsia" w:hAnsiTheme="minorHAnsi" w:cstheme="minorBidi"/>
            <w:b w:val="0"/>
            <w:noProof/>
            <w:sz w:val="22"/>
            <w:szCs w:val="22"/>
            <w:lang w:eastAsia="en-GB"/>
          </w:rPr>
          <w:tab/>
        </w:r>
        <w:r w:rsidRPr="00A340E2">
          <w:rPr>
            <w:rStyle w:val="Hyperlink"/>
            <w:noProof/>
          </w:rPr>
          <w:t>NE-DC and NR-DC should support at least the following MCG failure cases: MCG RLF, MCG configuration with sync failure, MCG RRC integrity check failure (on SRB1/2) and Mobility from NR/E-UTRA failure.</w:t>
        </w:r>
      </w:hyperlink>
    </w:p>
    <w:p w14:paraId="7EEF52FB" w14:textId="58A6EBBF" w:rsidR="00C01F33" w:rsidRPr="00CE0424" w:rsidRDefault="006E1C82" w:rsidP="009C7598">
      <w:pPr>
        <w:pStyle w:val="TableofFigures"/>
        <w:tabs>
          <w:tab w:val="right" w:leader="dot" w:pos="9629"/>
        </w:tabs>
      </w:pPr>
      <w:r>
        <w:rPr>
          <w:b w:val="0"/>
          <w:bCs/>
          <w:lang w:val="en-US"/>
        </w:rPr>
        <w:fldChar w:fldCharType="end"/>
      </w:r>
      <w:r w:rsidRPr="00CE0424">
        <w:rPr>
          <w:bCs/>
        </w:rPr>
        <w:t xml:space="preserve"> </w:t>
      </w:r>
    </w:p>
    <w:p w14:paraId="3E4F63CA" w14:textId="77777777" w:rsidR="00F507D1" w:rsidRPr="00CE0424" w:rsidRDefault="00F507D1" w:rsidP="00CE0424">
      <w:pPr>
        <w:pStyle w:val="Heading1"/>
      </w:pPr>
      <w:bookmarkStart w:id="11" w:name="_In-sequence_SDU_delivery"/>
      <w:bookmarkEnd w:id="11"/>
      <w:r w:rsidRPr="00CE0424">
        <w:lastRenderedPageBreak/>
        <w:t>References</w:t>
      </w:r>
    </w:p>
    <w:p w14:paraId="50B83EF7" w14:textId="77777777" w:rsidR="009C7598" w:rsidRPr="000F2FC0" w:rsidRDefault="009C7598" w:rsidP="009C7598">
      <w:pPr>
        <w:pStyle w:val="Reference"/>
        <w:rPr>
          <w:rFonts w:cs="Arial"/>
        </w:rPr>
      </w:pPr>
      <w:bookmarkStart w:id="12" w:name="_Ref503191143"/>
      <w:bookmarkStart w:id="13" w:name="_Ref510526008"/>
      <w:bookmarkStart w:id="14" w:name="_Ref521598755"/>
      <w:bookmarkStart w:id="15" w:name="_Ref525481723"/>
      <w:bookmarkStart w:id="16" w:name="_Ref174151459"/>
      <w:bookmarkStart w:id="17" w:name="_Ref189809556"/>
      <w:bookmarkStart w:id="18" w:name="_Hlk525639642"/>
      <w:r>
        <w:t>3GPP TSG-RAN WG2 #97bis, Chairman Notes, Spokane, USA, 3th – 7th February 2017.</w:t>
      </w:r>
      <w:bookmarkEnd w:id="12"/>
    </w:p>
    <w:p w14:paraId="47545C60" w14:textId="1AA50B42" w:rsidR="009C7598" w:rsidRDefault="009C7598" w:rsidP="009C7598">
      <w:pPr>
        <w:pStyle w:val="Reference"/>
      </w:pPr>
      <w:bookmarkStart w:id="19" w:name="_Ref521598879"/>
      <w:bookmarkStart w:id="20" w:name="_Ref525644542"/>
      <w:r w:rsidRPr="000F5A3B">
        <w:rPr>
          <w:color w:val="000000"/>
        </w:rPr>
        <w:t>R2-18</w:t>
      </w:r>
      <w:r w:rsidR="008D425C">
        <w:rPr>
          <w:color w:val="000000"/>
        </w:rPr>
        <w:t>14562</w:t>
      </w:r>
      <w:r>
        <w:t>,</w:t>
      </w:r>
      <w:r w:rsidRPr="00064815">
        <w:t xml:space="preserve"> </w:t>
      </w:r>
      <w:r w:rsidR="00BE0494">
        <w:t>S</w:t>
      </w:r>
      <w:r w:rsidRPr="00C3397E">
        <w:t xml:space="preserve">CG </w:t>
      </w:r>
      <w:r>
        <w:t>failure</w:t>
      </w:r>
      <w:r w:rsidRPr="00C3397E">
        <w:t xml:space="preserve"> handling in case of NE-DC</w:t>
      </w:r>
      <w:r>
        <w:t xml:space="preserve"> and N</w:t>
      </w:r>
      <w:r w:rsidR="00B11A99">
        <w:t>R</w:t>
      </w:r>
      <w:r>
        <w:t>-DC,</w:t>
      </w:r>
      <w:bookmarkEnd w:id="13"/>
      <w:bookmarkEnd w:id="14"/>
      <w:bookmarkEnd w:id="19"/>
      <w:r w:rsidR="00B11A99">
        <w:t xml:space="preserve"> Ericsson, </w:t>
      </w:r>
      <w:r w:rsidR="00B11A99">
        <w:rPr>
          <w:rFonts w:cs="Arial"/>
        </w:rPr>
        <w:t>TSG-RAN WG2 #103bis</w:t>
      </w:r>
      <w:r w:rsidR="00B11A99">
        <w:t xml:space="preserve">, </w:t>
      </w:r>
      <w:r w:rsidR="00B11A99" w:rsidRPr="00523B08">
        <w:t>Chengdu, China, 8th – 12th October 2018</w:t>
      </w:r>
      <w:r w:rsidR="00B11A99">
        <w:t>.</w:t>
      </w:r>
      <w:bookmarkEnd w:id="20"/>
    </w:p>
    <w:p w14:paraId="57FA7366" w14:textId="1C51C6E7" w:rsidR="00B11A99" w:rsidRPr="00B12F2F" w:rsidRDefault="00B11A99" w:rsidP="00B11A99">
      <w:pPr>
        <w:pStyle w:val="Reference"/>
      </w:pPr>
      <w:bookmarkStart w:id="21" w:name="_Ref525646218"/>
      <w:bookmarkEnd w:id="15"/>
      <w:bookmarkEnd w:id="16"/>
      <w:bookmarkEnd w:id="17"/>
      <w:bookmarkEnd w:id="18"/>
      <w:r w:rsidRPr="000F5A3B">
        <w:rPr>
          <w:color w:val="000000"/>
        </w:rPr>
        <w:t>R2-18</w:t>
      </w:r>
      <w:r w:rsidR="00DB044E">
        <w:rPr>
          <w:color w:val="000000"/>
        </w:rPr>
        <w:t>14560</w:t>
      </w:r>
      <w:r>
        <w:t>,</w:t>
      </w:r>
      <w:r w:rsidRPr="00064815">
        <w:t xml:space="preserve"> </w:t>
      </w:r>
      <w:r w:rsidR="00BE0494">
        <w:t>M</w:t>
      </w:r>
      <w:r w:rsidRPr="00C3397E">
        <w:t xml:space="preserve">CG </w:t>
      </w:r>
      <w:r>
        <w:t>failure</w:t>
      </w:r>
      <w:r w:rsidRPr="00C3397E">
        <w:t xml:space="preserve"> handling in case of NE-DC</w:t>
      </w:r>
      <w:r>
        <w:t xml:space="preserve"> </w:t>
      </w:r>
      <w:r w:rsidRPr="00B12F2F">
        <w:t xml:space="preserve">and NR-DC (CR to 37.340), Ericsson, </w:t>
      </w:r>
      <w:r w:rsidRPr="00B12F2F">
        <w:rPr>
          <w:rFonts w:cs="Arial"/>
        </w:rPr>
        <w:t>TSG-RAN WG2 #103bis</w:t>
      </w:r>
      <w:r w:rsidRPr="00B12F2F">
        <w:t>, Chengdu, China, 8th – 12th October 2018.</w:t>
      </w:r>
      <w:bookmarkEnd w:id="21"/>
    </w:p>
    <w:p w14:paraId="117F055C" w14:textId="643F9E85" w:rsidR="00444456" w:rsidRPr="00B12F2F" w:rsidRDefault="00444456" w:rsidP="00444456">
      <w:pPr>
        <w:pStyle w:val="Reference"/>
      </w:pPr>
      <w:bookmarkStart w:id="22" w:name="_Ref525743398"/>
      <w:r w:rsidRPr="00B12F2F">
        <w:rPr>
          <w:color w:val="000000"/>
        </w:rPr>
        <w:t>R2-18</w:t>
      </w:r>
      <w:r w:rsidR="00DB044E" w:rsidRPr="00B12F2F">
        <w:rPr>
          <w:color w:val="000000"/>
        </w:rPr>
        <w:t>14561</w:t>
      </w:r>
      <w:r w:rsidRPr="00B12F2F">
        <w:t xml:space="preserve">, MCG failure handling in case of NE-DC and NR-DC (CR to 38.331), Ericsson, </w:t>
      </w:r>
      <w:r w:rsidRPr="00B12F2F">
        <w:rPr>
          <w:rFonts w:cs="Arial"/>
        </w:rPr>
        <w:t>TSG-RAN WG2 #103bis</w:t>
      </w:r>
      <w:r w:rsidRPr="00B12F2F">
        <w:t>, Chengdu, China, 8th – 12th October 2018.</w:t>
      </w:r>
      <w:bookmarkEnd w:id="22"/>
    </w:p>
    <w:p w14:paraId="410FF8B1" w14:textId="77777777" w:rsidR="003A7EF3" w:rsidRPr="00CE0424" w:rsidRDefault="003A7EF3" w:rsidP="00CE0424">
      <w:pPr>
        <w:pStyle w:val="BodyText"/>
      </w:pPr>
    </w:p>
    <w:sectPr w:rsidR="003A7EF3"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990E5" w14:textId="77777777" w:rsidR="0053371B" w:rsidRDefault="0053371B">
      <w:r>
        <w:separator/>
      </w:r>
    </w:p>
  </w:endnote>
  <w:endnote w:type="continuationSeparator" w:id="0">
    <w:p w14:paraId="6C42C20F" w14:textId="77777777" w:rsidR="0053371B" w:rsidRDefault="0053371B">
      <w:r>
        <w:continuationSeparator/>
      </w:r>
    </w:p>
  </w:endnote>
  <w:endnote w:type="continuationNotice" w:id="1">
    <w:p w14:paraId="3ACACC1F" w14:textId="77777777" w:rsidR="0053371B" w:rsidRDefault="005337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84B7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B6B16" w14:textId="77777777" w:rsidR="0053371B" w:rsidRDefault="0053371B">
      <w:r>
        <w:separator/>
      </w:r>
    </w:p>
  </w:footnote>
  <w:footnote w:type="continuationSeparator" w:id="0">
    <w:p w14:paraId="507DF4FD" w14:textId="77777777" w:rsidR="0053371B" w:rsidRDefault="0053371B">
      <w:r>
        <w:continuationSeparator/>
      </w:r>
    </w:p>
  </w:footnote>
  <w:footnote w:type="continuationNotice" w:id="1">
    <w:p w14:paraId="3FBAB7C3" w14:textId="77777777" w:rsidR="0053371B" w:rsidRDefault="005337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025A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2"/>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7"/>
  </w:num>
  <w:num w:numId="18">
    <w:abstractNumId w:val="8"/>
  </w:num>
  <w:num w:numId="19">
    <w:abstractNumId w:val="5"/>
  </w:num>
  <w:num w:numId="20">
    <w:abstractNumId w:val="27"/>
  </w:num>
  <w:num w:numId="21">
    <w:abstractNumId w:val="12"/>
  </w:num>
  <w:num w:numId="22">
    <w:abstractNumId w:val="26"/>
  </w:num>
  <w:num w:numId="23">
    <w:abstractNumId w:val="21"/>
  </w:num>
  <w:num w:numId="24">
    <w:abstractNumId w:val="6"/>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9"/>
    <w:lvlOverride w:ilvl="0">
      <w:startOverride w:val="1"/>
    </w:lvlOverride>
  </w:num>
  <w:num w:numId="29">
    <w:abstractNumId w:val="25"/>
  </w:num>
  <w:num w:numId="30">
    <w:abstractNumId w:val="19"/>
    <w:lvlOverride w:ilvl="0">
      <w:startOverride w:val="1"/>
    </w:lvlOverride>
  </w:num>
  <w:num w:numId="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662"/>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CB4"/>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66C9"/>
    <w:rsid w:val="0018143F"/>
    <w:rsid w:val="00181FF8"/>
    <w:rsid w:val="00190AC1"/>
    <w:rsid w:val="0019341A"/>
    <w:rsid w:val="00197DF9"/>
    <w:rsid w:val="001A1987"/>
    <w:rsid w:val="001A2564"/>
    <w:rsid w:val="001A6173"/>
    <w:rsid w:val="001A6CBA"/>
    <w:rsid w:val="001B0D97"/>
    <w:rsid w:val="001B5A5D"/>
    <w:rsid w:val="001C1CE5"/>
    <w:rsid w:val="001C3D2A"/>
    <w:rsid w:val="001C4D3C"/>
    <w:rsid w:val="001D51BA"/>
    <w:rsid w:val="001D53E7"/>
    <w:rsid w:val="001D5AA8"/>
    <w:rsid w:val="001D6342"/>
    <w:rsid w:val="001D6D53"/>
    <w:rsid w:val="001E4CC7"/>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2A0A"/>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F48"/>
    <w:rsid w:val="00292EB7"/>
    <w:rsid w:val="00296227"/>
    <w:rsid w:val="00296F44"/>
    <w:rsid w:val="0029777D"/>
    <w:rsid w:val="002A055E"/>
    <w:rsid w:val="002A1D4E"/>
    <w:rsid w:val="002A2869"/>
    <w:rsid w:val="002B24D6"/>
    <w:rsid w:val="002C25C9"/>
    <w:rsid w:val="002C41E6"/>
    <w:rsid w:val="002D071A"/>
    <w:rsid w:val="002D34B2"/>
    <w:rsid w:val="002D48B0"/>
    <w:rsid w:val="002D5B37"/>
    <w:rsid w:val="002D7637"/>
    <w:rsid w:val="002E17F2"/>
    <w:rsid w:val="002E7CAE"/>
    <w:rsid w:val="002F2771"/>
    <w:rsid w:val="002F37A9"/>
    <w:rsid w:val="002F63B6"/>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0AE7"/>
    <w:rsid w:val="00342853"/>
    <w:rsid w:val="00342BD7"/>
    <w:rsid w:val="00346DB5"/>
    <w:rsid w:val="003477B1"/>
    <w:rsid w:val="0035484B"/>
    <w:rsid w:val="00357380"/>
    <w:rsid w:val="003602D9"/>
    <w:rsid w:val="003604CE"/>
    <w:rsid w:val="00370E47"/>
    <w:rsid w:val="003742AC"/>
    <w:rsid w:val="00377CE1"/>
    <w:rsid w:val="0038241C"/>
    <w:rsid w:val="003849DB"/>
    <w:rsid w:val="00385BF0"/>
    <w:rsid w:val="003939FF"/>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617"/>
    <w:rsid w:val="00402E2B"/>
    <w:rsid w:val="0040512B"/>
    <w:rsid w:val="00405CA5"/>
    <w:rsid w:val="00407CD3"/>
    <w:rsid w:val="00410134"/>
    <w:rsid w:val="00410B72"/>
    <w:rsid w:val="00410F18"/>
    <w:rsid w:val="0041263E"/>
    <w:rsid w:val="00413AAC"/>
    <w:rsid w:val="00413E92"/>
    <w:rsid w:val="00421105"/>
    <w:rsid w:val="00422AA4"/>
    <w:rsid w:val="00422CE4"/>
    <w:rsid w:val="004242F4"/>
    <w:rsid w:val="00427248"/>
    <w:rsid w:val="00437447"/>
    <w:rsid w:val="00441A92"/>
    <w:rsid w:val="004431DC"/>
    <w:rsid w:val="00444456"/>
    <w:rsid w:val="00444F56"/>
    <w:rsid w:val="00446488"/>
    <w:rsid w:val="004517AA"/>
    <w:rsid w:val="00452CAC"/>
    <w:rsid w:val="00457565"/>
    <w:rsid w:val="00457B71"/>
    <w:rsid w:val="004669E2"/>
    <w:rsid w:val="00470C31"/>
    <w:rsid w:val="00471DE0"/>
    <w:rsid w:val="004734D0"/>
    <w:rsid w:val="0047556B"/>
    <w:rsid w:val="00477768"/>
    <w:rsid w:val="00487B5B"/>
    <w:rsid w:val="00492BC5"/>
    <w:rsid w:val="004964F1"/>
    <w:rsid w:val="004A16BC"/>
    <w:rsid w:val="004A2B94"/>
    <w:rsid w:val="004B6F6A"/>
    <w:rsid w:val="004B7C0C"/>
    <w:rsid w:val="004C0AF6"/>
    <w:rsid w:val="004C3898"/>
    <w:rsid w:val="004D36B1"/>
    <w:rsid w:val="004D7EBD"/>
    <w:rsid w:val="004E2680"/>
    <w:rsid w:val="004E28F9"/>
    <w:rsid w:val="004E462E"/>
    <w:rsid w:val="004E56DC"/>
    <w:rsid w:val="004E76F4"/>
    <w:rsid w:val="004F0B4E"/>
    <w:rsid w:val="004F0B6C"/>
    <w:rsid w:val="004F1A05"/>
    <w:rsid w:val="004F2078"/>
    <w:rsid w:val="004F4DA3"/>
    <w:rsid w:val="00500DC6"/>
    <w:rsid w:val="005037E6"/>
    <w:rsid w:val="00504871"/>
    <w:rsid w:val="00506557"/>
    <w:rsid w:val="0050677A"/>
    <w:rsid w:val="005108D8"/>
    <w:rsid w:val="005116F9"/>
    <w:rsid w:val="005153A7"/>
    <w:rsid w:val="005219CF"/>
    <w:rsid w:val="00523B08"/>
    <w:rsid w:val="0053371B"/>
    <w:rsid w:val="00534B59"/>
    <w:rsid w:val="00536759"/>
    <w:rsid w:val="00537C62"/>
    <w:rsid w:val="005462AC"/>
    <w:rsid w:val="00546970"/>
    <w:rsid w:val="005511BD"/>
    <w:rsid w:val="00554E19"/>
    <w:rsid w:val="0056121F"/>
    <w:rsid w:val="00572505"/>
    <w:rsid w:val="00582809"/>
    <w:rsid w:val="0058798C"/>
    <w:rsid w:val="005900FA"/>
    <w:rsid w:val="005935A4"/>
    <w:rsid w:val="005948C2"/>
    <w:rsid w:val="00595DCA"/>
    <w:rsid w:val="0059779B"/>
    <w:rsid w:val="005A209A"/>
    <w:rsid w:val="005A662D"/>
    <w:rsid w:val="005B1409"/>
    <w:rsid w:val="005B157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E4E"/>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4B2"/>
    <w:rsid w:val="006B1816"/>
    <w:rsid w:val="006B2099"/>
    <w:rsid w:val="006B50CF"/>
    <w:rsid w:val="006C03B8"/>
    <w:rsid w:val="006C52E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1B94"/>
    <w:rsid w:val="00712287"/>
    <w:rsid w:val="00712772"/>
    <w:rsid w:val="007148D3"/>
    <w:rsid w:val="00715B9A"/>
    <w:rsid w:val="00722C72"/>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6081"/>
    <w:rsid w:val="00817196"/>
    <w:rsid w:val="008235DB"/>
    <w:rsid w:val="00824AB4"/>
    <w:rsid w:val="00825C42"/>
    <w:rsid w:val="00825D25"/>
    <w:rsid w:val="008263D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07F0"/>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25C"/>
    <w:rsid w:val="008D6D1A"/>
    <w:rsid w:val="008E065E"/>
    <w:rsid w:val="008E0927"/>
    <w:rsid w:val="008E1909"/>
    <w:rsid w:val="008E566B"/>
    <w:rsid w:val="008F1EAB"/>
    <w:rsid w:val="008F33DC"/>
    <w:rsid w:val="008F477F"/>
    <w:rsid w:val="00902350"/>
    <w:rsid w:val="00902F0E"/>
    <w:rsid w:val="0090336B"/>
    <w:rsid w:val="009053AA"/>
    <w:rsid w:val="00906939"/>
    <w:rsid w:val="00906B47"/>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0E34"/>
    <w:rsid w:val="00961921"/>
    <w:rsid w:val="0096430A"/>
    <w:rsid w:val="0096554B"/>
    <w:rsid w:val="00965783"/>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931"/>
    <w:rsid w:val="009A3BB6"/>
    <w:rsid w:val="009A462D"/>
    <w:rsid w:val="009A5CBA"/>
    <w:rsid w:val="009B1F30"/>
    <w:rsid w:val="009B3AC2"/>
    <w:rsid w:val="009B4DF4"/>
    <w:rsid w:val="009B564E"/>
    <w:rsid w:val="009B7E87"/>
    <w:rsid w:val="009C0169"/>
    <w:rsid w:val="009C403E"/>
    <w:rsid w:val="009C7598"/>
    <w:rsid w:val="009D4FF0"/>
    <w:rsid w:val="009D703C"/>
    <w:rsid w:val="009D718F"/>
    <w:rsid w:val="009E068F"/>
    <w:rsid w:val="009E14E0"/>
    <w:rsid w:val="009E35DB"/>
    <w:rsid w:val="009E47A3"/>
    <w:rsid w:val="009F08F3"/>
    <w:rsid w:val="009F344F"/>
    <w:rsid w:val="00A031D8"/>
    <w:rsid w:val="00A048A8"/>
    <w:rsid w:val="00A04F49"/>
    <w:rsid w:val="00A13E54"/>
    <w:rsid w:val="00A144F5"/>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33E3"/>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662"/>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1A99"/>
    <w:rsid w:val="00B12F2F"/>
    <w:rsid w:val="00B157F9"/>
    <w:rsid w:val="00B20256"/>
    <w:rsid w:val="00B20D09"/>
    <w:rsid w:val="00B2763F"/>
    <w:rsid w:val="00B27AAC"/>
    <w:rsid w:val="00B305CE"/>
    <w:rsid w:val="00B30929"/>
    <w:rsid w:val="00B372AA"/>
    <w:rsid w:val="00B40445"/>
    <w:rsid w:val="00B409E0"/>
    <w:rsid w:val="00B41888"/>
    <w:rsid w:val="00B45A52"/>
    <w:rsid w:val="00B46175"/>
    <w:rsid w:val="00B548B7"/>
    <w:rsid w:val="00B664C7"/>
    <w:rsid w:val="00B7268E"/>
    <w:rsid w:val="00B739F6"/>
    <w:rsid w:val="00B81A6C"/>
    <w:rsid w:val="00B85DE5"/>
    <w:rsid w:val="00B90F73"/>
    <w:rsid w:val="00B93B59"/>
    <w:rsid w:val="00B9406A"/>
    <w:rsid w:val="00BA0580"/>
    <w:rsid w:val="00BA2280"/>
    <w:rsid w:val="00BA2A08"/>
    <w:rsid w:val="00BA56D2"/>
    <w:rsid w:val="00BA76E0"/>
    <w:rsid w:val="00BB2A25"/>
    <w:rsid w:val="00BB51E9"/>
    <w:rsid w:val="00BC0FDC"/>
    <w:rsid w:val="00BC3053"/>
    <w:rsid w:val="00BC4D2E"/>
    <w:rsid w:val="00BD48AC"/>
    <w:rsid w:val="00BD5F1A"/>
    <w:rsid w:val="00BE0494"/>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479AD"/>
    <w:rsid w:val="00C54995"/>
    <w:rsid w:val="00C54D41"/>
    <w:rsid w:val="00C60783"/>
    <w:rsid w:val="00C64672"/>
    <w:rsid w:val="00C70697"/>
    <w:rsid w:val="00C72093"/>
    <w:rsid w:val="00C72EF4"/>
    <w:rsid w:val="00C744FE"/>
    <w:rsid w:val="00C753A8"/>
    <w:rsid w:val="00C75D2F"/>
    <w:rsid w:val="00C767BE"/>
    <w:rsid w:val="00C76E3C"/>
    <w:rsid w:val="00C81568"/>
    <w:rsid w:val="00C878AE"/>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846"/>
    <w:rsid w:val="00D239A7"/>
    <w:rsid w:val="00D23F47"/>
    <w:rsid w:val="00D36E71"/>
    <w:rsid w:val="00D37D87"/>
    <w:rsid w:val="00D40B33"/>
    <w:rsid w:val="00D4318F"/>
    <w:rsid w:val="00D438BF"/>
    <w:rsid w:val="00D440F8"/>
    <w:rsid w:val="00D537A2"/>
    <w:rsid w:val="00D546FF"/>
    <w:rsid w:val="00D55AD5"/>
    <w:rsid w:val="00D576CA"/>
    <w:rsid w:val="00D61AF5"/>
    <w:rsid w:val="00D652B5"/>
    <w:rsid w:val="00D66155"/>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377D"/>
    <w:rsid w:val="00DC2D36"/>
    <w:rsid w:val="00DC53EF"/>
    <w:rsid w:val="00DD1546"/>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543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969"/>
    <w:rsid w:val="00F40F0C"/>
    <w:rsid w:val="00F4766C"/>
    <w:rsid w:val="00F5060E"/>
    <w:rsid w:val="00F507D1"/>
    <w:rsid w:val="00F519CE"/>
    <w:rsid w:val="00F51ADA"/>
    <w:rsid w:val="00F60203"/>
    <w:rsid w:val="00F607C5"/>
    <w:rsid w:val="00F60DEA"/>
    <w:rsid w:val="00F6302A"/>
    <w:rsid w:val="00F63950"/>
    <w:rsid w:val="00F64C2B"/>
    <w:rsid w:val="00F64CF9"/>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0E9"/>
    <w:rsid w:val="00FB6A6A"/>
    <w:rsid w:val="00FC7429"/>
    <w:rsid w:val="00FD07F6"/>
    <w:rsid w:val="00FD1EC8"/>
    <w:rsid w:val="00FD47ED"/>
    <w:rsid w:val="00FD74DB"/>
    <w:rsid w:val="00FD7660"/>
    <w:rsid w:val="00FE0655"/>
    <w:rsid w:val="00FE2365"/>
    <w:rsid w:val="00FE37D7"/>
    <w:rsid w:val="00FE4C1F"/>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4904E70"/>
  <w15:chartTrackingRefBased/>
  <w15:docId w15:val="{6CF9D220-145F-4665-87DE-9FFF48FB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link w:val="HeaderChar"/>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uiPriority w:val="99"/>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rsid w:val="00290F48"/>
    <w:rPr>
      <w:rFonts w:ascii="Times New Roman" w:hAnsi="Times New Roman"/>
    </w:rPr>
  </w:style>
  <w:style w:type="paragraph" w:customStyle="1" w:styleId="B2">
    <w:name w:val="B2"/>
    <w:basedOn w:val="List2"/>
    <w:link w:val="B2Char"/>
    <w:rsid w:val="00290F48"/>
    <w:rPr>
      <w:rFonts w:ascii="Times New Roman" w:hAnsi="Times New Roman"/>
    </w:rPr>
  </w:style>
  <w:style w:type="paragraph" w:customStyle="1" w:styleId="B3">
    <w:name w:val="B3"/>
    <w:basedOn w:val="List3"/>
    <w:link w:val="B3Char2"/>
    <w:rsid w:val="00290F48"/>
    <w:rPr>
      <w:rFonts w:ascii="Times New Roman" w:hAnsi="Times New Roman"/>
    </w:rPr>
  </w:style>
  <w:style w:type="paragraph" w:customStyle="1" w:styleId="B4">
    <w:name w:val="B4"/>
    <w:basedOn w:val="List4"/>
    <w:link w:val="B4Char"/>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rsid w:val="00290F48"/>
    <w:pPr>
      <w:keepNext/>
      <w:keepLines/>
      <w:spacing w:before="60"/>
      <w:jc w:val="center"/>
    </w:pPr>
    <w:rPr>
      <w:rFonts w:ascii="Arial" w:hAnsi="Arial"/>
      <w:b/>
      <w:lang w:val="x-none" w:eastAsia="x-none"/>
    </w:rPr>
  </w:style>
  <w:style w:type="paragraph" w:customStyle="1" w:styleId="TF">
    <w:name w:val="TF"/>
    <w:basedOn w:val="TH"/>
    <w:link w:val="TFChar"/>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uiPriority w:val="39"/>
    <w:rsid w:val="00290F4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rsid w:val="00290F48"/>
    <w:rPr>
      <w:rFonts w:ascii="Arial" w:hAnsi="Arial"/>
      <w:b/>
      <w:lang w:val="x-none" w:eastAsia="x-none"/>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4.xml><?xml version="1.0" encoding="utf-8"?>
<ds:datastoreItem xmlns:ds="http://schemas.openxmlformats.org/officeDocument/2006/customXml" ds:itemID="{D685905C-79FB-4AB6-93BB-5F2E6A73C8C5}">
  <ds:schemaRefs>
    <ds:schemaRef ds:uri="f166a696-7b5b-4ccd-9f0c-ffde0cceec81"/>
    <ds:schemaRef ds:uri="http://purl.org/dc/dcmitype/"/>
    <ds:schemaRef ds:uri="d8762117-8292-4133-b1c7-eab5c6487cfd"/>
    <ds:schemaRef ds:uri="http://schemas.microsoft.com/office/infopath/2007/PartnerControls"/>
    <ds:schemaRef ds:uri="http://purl.org/dc/terms/"/>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schemas.microsoft.com/sharepoint/v4"/>
    <ds:schemaRef ds:uri="611109f9-ed58-4498-a270-1fb2086a5321"/>
    <ds:schemaRef ds:uri="http://www.w3.org/XML/1998/namespace"/>
  </ds:schemaRefs>
</ds:datastoreItem>
</file>

<file path=customXml/itemProps5.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0761CE-6378-4C06-AADE-5DDB4BE72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62</TotalTime>
  <Pages>4</Pages>
  <Words>1364</Words>
  <Characters>7434</Characters>
  <Application>Microsoft Office Word</Application>
  <DocSecurity>0</DocSecurity>
  <Lines>165</Lines>
  <Paragraphs>109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8689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37</cp:revision>
  <cp:lastPrinted>2008-01-31T07:09:00Z</cp:lastPrinted>
  <dcterms:created xsi:type="dcterms:W3CDTF">2018-09-25T10:11:00Z</dcterms:created>
  <dcterms:modified xsi:type="dcterms:W3CDTF">2018-09-27T19:47:00Z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